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774" w:type="dxa"/>
        <w:tblInd w:w="-714" w:type="dxa"/>
        <w:tblLook w:val="04A0" w:firstRow="1" w:lastRow="0" w:firstColumn="1" w:lastColumn="0" w:noHBand="0" w:noVBand="1"/>
      </w:tblPr>
      <w:tblGrid>
        <w:gridCol w:w="5387"/>
        <w:gridCol w:w="5387"/>
      </w:tblGrid>
      <w:tr w:rsidR="0093550A" w:rsidRPr="00F500F6" w14:paraId="5DF73D69" w14:textId="77777777" w:rsidTr="0093550A">
        <w:tc>
          <w:tcPr>
            <w:tcW w:w="5387" w:type="dxa"/>
          </w:tcPr>
          <w:p w14:paraId="02F26721" w14:textId="77777777" w:rsidR="0093550A" w:rsidRPr="00F500F6" w:rsidRDefault="0093550A" w:rsidP="00506E88">
            <w:pPr>
              <w:jc w:val="center"/>
              <w:rPr>
                <w:rFonts w:cstheme="minorHAnsi"/>
                <w:b/>
                <w:bCs/>
                <w:sz w:val="24"/>
                <w:szCs w:val="24"/>
                <w:lang w:val="fr-BE"/>
              </w:rPr>
            </w:pPr>
            <w:r w:rsidRPr="00F500F6">
              <w:rPr>
                <w:rFonts w:cstheme="minorHAnsi"/>
                <w:b/>
                <w:bCs/>
                <w:sz w:val="24"/>
                <w:szCs w:val="24"/>
                <w:lang w:val="fr-BE"/>
              </w:rPr>
              <w:t>Commission paritaire des établissements et des services de santé</w:t>
            </w:r>
          </w:p>
          <w:p w14:paraId="286B1436" w14:textId="77777777" w:rsidR="0093550A" w:rsidRPr="00F500F6" w:rsidRDefault="0093550A" w:rsidP="00506E88">
            <w:pPr>
              <w:jc w:val="center"/>
              <w:rPr>
                <w:rFonts w:cstheme="minorHAnsi"/>
                <w:sz w:val="24"/>
                <w:szCs w:val="24"/>
                <w:lang w:val="fr-BE"/>
              </w:rPr>
            </w:pPr>
          </w:p>
          <w:p w14:paraId="2EF33071" w14:textId="77777777" w:rsidR="0093550A" w:rsidRPr="00F500F6" w:rsidRDefault="0093550A" w:rsidP="00506E88">
            <w:pPr>
              <w:jc w:val="center"/>
              <w:rPr>
                <w:rFonts w:cstheme="minorHAnsi"/>
                <w:b/>
                <w:sz w:val="24"/>
                <w:szCs w:val="24"/>
                <w:lang w:val="fr-BE"/>
              </w:rPr>
            </w:pPr>
          </w:p>
          <w:p w14:paraId="42961AD8" w14:textId="6FD419A0" w:rsidR="0093550A" w:rsidRPr="00F500F6" w:rsidRDefault="0093550A" w:rsidP="00506E88">
            <w:pPr>
              <w:jc w:val="center"/>
              <w:rPr>
                <w:rFonts w:cstheme="minorHAnsi"/>
                <w:b/>
                <w:sz w:val="24"/>
                <w:szCs w:val="24"/>
                <w:lang w:val="fr-BE"/>
              </w:rPr>
            </w:pPr>
            <w:r w:rsidRPr="00F500F6">
              <w:rPr>
                <w:rFonts w:cstheme="minorHAnsi"/>
                <w:b/>
                <w:sz w:val="24"/>
                <w:szCs w:val="24"/>
                <w:lang w:val="fr-BE"/>
              </w:rPr>
              <w:t xml:space="preserve">Convention collective de travail du </w:t>
            </w:r>
            <w:r w:rsidR="00506E88">
              <w:rPr>
                <w:rFonts w:cstheme="minorHAnsi"/>
                <w:b/>
                <w:sz w:val="24"/>
                <w:szCs w:val="24"/>
                <w:lang w:val="fr-BE"/>
              </w:rPr>
              <w:t>08</w:t>
            </w:r>
            <w:r w:rsidRPr="00F500F6">
              <w:rPr>
                <w:rFonts w:cstheme="minorHAnsi"/>
                <w:b/>
                <w:sz w:val="24"/>
                <w:szCs w:val="24"/>
                <w:lang w:val="fr-BE"/>
              </w:rPr>
              <w:t>/</w:t>
            </w:r>
            <w:r w:rsidR="00506E88">
              <w:rPr>
                <w:rFonts w:cstheme="minorHAnsi"/>
                <w:b/>
                <w:sz w:val="24"/>
                <w:szCs w:val="24"/>
                <w:lang w:val="fr-BE"/>
              </w:rPr>
              <w:t>02</w:t>
            </w:r>
            <w:r w:rsidRPr="00F500F6">
              <w:rPr>
                <w:rFonts w:cstheme="minorHAnsi"/>
                <w:b/>
                <w:sz w:val="24"/>
                <w:szCs w:val="24"/>
                <w:lang w:val="fr-BE"/>
              </w:rPr>
              <w:t>/2021 concernant l’octroi d’une prime unique d’encouragement en faveur du personnel des maisons médicales/</w:t>
            </w:r>
            <w:proofErr w:type="spellStart"/>
            <w:r w:rsidRPr="00F500F6">
              <w:rPr>
                <w:rFonts w:cstheme="minorHAnsi"/>
                <w:b/>
                <w:sz w:val="24"/>
                <w:szCs w:val="24"/>
                <w:lang w:val="fr-BE"/>
              </w:rPr>
              <w:t>wijkgezondheidscentra</w:t>
            </w:r>
            <w:proofErr w:type="spellEnd"/>
          </w:p>
          <w:p w14:paraId="1390A85D" w14:textId="77777777" w:rsidR="0093550A" w:rsidRPr="00506E88" w:rsidRDefault="0093550A" w:rsidP="00506E88">
            <w:pPr>
              <w:rPr>
                <w:rFonts w:cstheme="minorHAnsi"/>
                <w:sz w:val="24"/>
                <w:szCs w:val="24"/>
                <w:lang w:val="fr-BE"/>
              </w:rPr>
            </w:pPr>
          </w:p>
          <w:p w14:paraId="2F97ADBC" w14:textId="77777777" w:rsidR="0093550A" w:rsidRPr="00506E88" w:rsidRDefault="0093550A" w:rsidP="00506E88">
            <w:pPr>
              <w:rPr>
                <w:rFonts w:cstheme="minorHAnsi"/>
                <w:sz w:val="24"/>
                <w:szCs w:val="24"/>
                <w:lang w:val="fr-BE"/>
              </w:rPr>
            </w:pPr>
          </w:p>
          <w:p w14:paraId="7A6B21DE" w14:textId="77777777" w:rsidR="0093550A" w:rsidRPr="00AE4872" w:rsidRDefault="0093550A" w:rsidP="00506E88">
            <w:pPr>
              <w:spacing w:after="287" w:line="227" w:lineRule="auto"/>
              <w:ind w:right="-35"/>
              <w:rPr>
                <w:rFonts w:cstheme="minorHAnsi"/>
                <w:caps/>
                <w:sz w:val="24"/>
                <w:szCs w:val="24"/>
                <w:u w:val="single"/>
                <w:lang w:val="fr-BE"/>
              </w:rPr>
            </w:pPr>
            <w:r w:rsidRPr="00AE4872">
              <w:rPr>
                <w:rFonts w:cstheme="minorHAnsi"/>
                <w:caps/>
                <w:sz w:val="24"/>
                <w:szCs w:val="24"/>
                <w:u w:val="single"/>
                <w:lang w:val="fr-BE"/>
              </w:rPr>
              <w:t>Chapitre 1 : Champ d’application</w:t>
            </w:r>
          </w:p>
          <w:p w14:paraId="7AFF4299" w14:textId="77777777" w:rsidR="0093550A" w:rsidRPr="00F500F6" w:rsidRDefault="0093550A" w:rsidP="00AF4495">
            <w:pPr>
              <w:pStyle w:val="Titre3"/>
              <w:spacing w:line="228" w:lineRule="auto"/>
              <w:ind w:right="-35"/>
              <w:outlineLvl w:val="2"/>
              <w:rPr>
                <w:rFonts w:asciiTheme="minorHAnsi" w:hAnsiTheme="minorHAnsi" w:cstheme="minorHAnsi"/>
                <w:b/>
                <w:szCs w:val="24"/>
              </w:rPr>
            </w:pPr>
            <w:r w:rsidRPr="00F500F6">
              <w:rPr>
                <w:rFonts w:asciiTheme="minorHAnsi" w:hAnsiTheme="minorHAnsi" w:cstheme="minorHAnsi"/>
                <w:b/>
                <w:szCs w:val="24"/>
              </w:rPr>
              <w:t xml:space="preserve">Article 1 </w:t>
            </w:r>
            <w:r w:rsidRPr="00F500F6">
              <w:rPr>
                <w:rFonts w:asciiTheme="minorHAnsi" w:hAnsiTheme="minorHAnsi" w:cstheme="minorHAnsi"/>
                <w:b/>
                <w:szCs w:val="24"/>
                <w:vertAlign w:val="superscript"/>
              </w:rPr>
              <w:t>er</w:t>
            </w:r>
          </w:p>
          <w:p w14:paraId="2DAAD8A6" w14:textId="4EF573D7" w:rsidR="0093550A" w:rsidRPr="00AE4872" w:rsidRDefault="0093550A" w:rsidP="00AF4495">
            <w:pPr>
              <w:spacing w:after="240" w:line="228" w:lineRule="auto"/>
              <w:ind w:right="-35"/>
              <w:rPr>
                <w:rFonts w:cstheme="minorHAnsi"/>
                <w:sz w:val="24"/>
                <w:szCs w:val="24"/>
                <w:shd w:val="clear" w:color="auto" w:fill="FFFFFF"/>
                <w:lang w:val="fr-BE"/>
              </w:rPr>
            </w:pPr>
            <w:r w:rsidRPr="00AE4872">
              <w:rPr>
                <w:rFonts w:eastAsia="Calibri" w:cstheme="minorHAnsi"/>
                <w:b/>
                <w:sz w:val="24"/>
                <w:szCs w:val="24"/>
                <w:lang w:val="fr-BE"/>
              </w:rPr>
              <w:t xml:space="preserve">§ 1 </w:t>
            </w:r>
            <w:r w:rsidRPr="00AE4872">
              <w:rPr>
                <w:rFonts w:eastAsia="Calibri" w:cstheme="minorHAnsi"/>
                <w:b/>
                <w:sz w:val="24"/>
                <w:szCs w:val="24"/>
                <w:vertAlign w:val="superscript"/>
                <w:lang w:val="fr-BE"/>
              </w:rPr>
              <w:t>er</w:t>
            </w:r>
            <w:r w:rsidRPr="00AE4872">
              <w:rPr>
                <w:rFonts w:eastAsia="Calibri" w:cstheme="minorHAnsi"/>
                <w:sz w:val="24"/>
                <w:szCs w:val="24"/>
                <w:vertAlign w:val="superscript"/>
                <w:lang w:val="fr-BE"/>
              </w:rPr>
              <w:t xml:space="preserve"> </w:t>
            </w:r>
            <w:r w:rsidRPr="00AE4872">
              <w:rPr>
                <w:rFonts w:cstheme="minorHAnsi"/>
                <w:sz w:val="24"/>
                <w:szCs w:val="24"/>
                <w:shd w:val="clear" w:color="auto" w:fill="FFFFFF"/>
                <w:lang w:val="fr-BE"/>
              </w:rPr>
              <w:t xml:space="preserve">La présente convention collective de travail s'applique aux employeurs et aux travailleurs des maisons médicales / </w:t>
            </w:r>
            <w:proofErr w:type="spellStart"/>
            <w:r w:rsidRPr="00AE4872">
              <w:rPr>
                <w:rFonts w:cstheme="minorHAnsi"/>
                <w:sz w:val="24"/>
                <w:szCs w:val="24"/>
                <w:shd w:val="clear" w:color="auto" w:fill="FFFFFF"/>
                <w:lang w:val="fr-BE"/>
              </w:rPr>
              <w:t>wijkgezondheidscentra</w:t>
            </w:r>
            <w:proofErr w:type="spellEnd"/>
            <w:r w:rsidR="00857C27" w:rsidRPr="00AE4872">
              <w:rPr>
                <w:rFonts w:cstheme="minorHAnsi"/>
                <w:sz w:val="24"/>
                <w:szCs w:val="24"/>
                <w:shd w:val="clear" w:color="auto" w:fill="FFFFFF"/>
                <w:lang w:val="fr-BE"/>
              </w:rPr>
              <w:t xml:space="preserve"> ressortissant à la Commission Paritaire 330</w:t>
            </w:r>
            <w:r w:rsidRPr="00AE4872">
              <w:rPr>
                <w:rFonts w:cstheme="minorHAnsi"/>
                <w:sz w:val="24"/>
                <w:szCs w:val="24"/>
                <w:shd w:val="clear" w:color="auto" w:fill="FFFFFF"/>
                <w:lang w:val="fr-BE"/>
              </w:rPr>
              <w:t>.</w:t>
            </w:r>
          </w:p>
          <w:p w14:paraId="368E40A6" w14:textId="7376B1FC" w:rsidR="0093550A" w:rsidRPr="00AE4872" w:rsidRDefault="009111FF" w:rsidP="00AF4495">
            <w:pPr>
              <w:spacing w:line="228" w:lineRule="auto"/>
              <w:ind w:left="57" w:right="-35"/>
              <w:rPr>
                <w:rFonts w:eastAsia="Calibri" w:cstheme="minorHAnsi"/>
                <w:sz w:val="24"/>
                <w:szCs w:val="24"/>
                <w:lang w:val="fr-BE"/>
              </w:rPr>
            </w:pPr>
            <w:r w:rsidRPr="00AE4872">
              <w:rPr>
                <w:rFonts w:eastAsia="Calibri" w:cstheme="minorHAnsi"/>
                <w:b/>
                <w:sz w:val="24"/>
                <w:szCs w:val="24"/>
                <w:lang w:val="fr-BE"/>
              </w:rPr>
              <w:t>§ 2.</w:t>
            </w:r>
            <w:r w:rsidR="0093550A" w:rsidRPr="00AE4872">
              <w:rPr>
                <w:rFonts w:eastAsia="Calibri" w:cstheme="minorHAnsi"/>
                <w:sz w:val="24"/>
                <w:szCs w:val="24"/>
                <w:lang w:val="fr-BE"/>
              </w:rPr>
              <w:t xml:space="preserve"> Pour l'application de la présente CCT, il faut entendre par travailleur : le personnel ouvrier et employé, tant féminin que masculin, à l’exception des médecins généralistes salariés et des travailleurs agréés par les régions (AVIQ / COCOF). </w:t>
            </w:r>
          </w:p>
          <w:p w14:paraId="0A52EB76" w14:textId="77777777" w:rsidR="0093550A" w:rsidRPr="00AE4872" w:rsidRDefault="0093550A" w:rsidP="00AF4495">
            <w:pPr>
              <w:spacing w:line="228" w:lineRule="auto"/>
              <w:ind w:left="57" w:right="-35"/>
              <w:rPr>
                <w:rFonts w:eastAsia="Calibri" w:cstheme="minorHAnsi"/>
                <w:sz w:val="24"/>
                <w:szCs w:val="24"/>
                <w:lang w:val="fr-BE"/>
              </w:rPr>
            </w:pPr>
          </w:p>
          <w:p w14:paraId="12991B19" w14:textId="77777777" w:rsidR="00892DB2" w:rsidRPr="00AE4872" w:rsidRDefault="00892DB2" w:rsidP="00892DB2">
            <w:pPr>
              <w:spacing w:line="228" w:lineRule="auto"/>
              <w:ind w:left="57" w:right="-35"/>
              <w:rPr>
                <w:rFonts w:eastAsia="Calibri" w:cstheme="minorHAnsi"/>
                <w:sz w:val="24"/>
                <w:szCs w:val="24"/>
                <w:lang w:val="fr-BE"/>
              </w:rPr>
            </w:pPr>
            <w:r w:rsidRPr="00AE4872">
              <w:rPr>
                <w:rFonts w:eastAsia="Calibri" w:cstheme="minorHAnsi"/>
                <w:b/>
                <w:sz w:val="24"/>
                <w:szCs w:val="24"/>
                <w:lang w:val="fr-BE"/>
              </w:rPr>
              <w:t xml:space="preserve">§ 3. </w:t>
            </w:r>
            <w:r w:rsidRPr="00AE4872">
              <w:rPr>
                <w:rFonts w:eastAsia="Calibri" w:cstheme="minorHAnsi"/>
                <w:sz w:val="24"/>
                <w:szCs w:val="24"/>
                <w:lang w:val="fr-BE"/>
              </w:rPr>
              <w:t xml:space="preserve">Pour l’application de la présente CCT, il faut entendre par maisons médicales / </w:t>
            </w:r>
            <w:proofErr w:type="spellStart"/>
            <w:r w:rsidRPr="00AE4872">
              <w:rPr>
                <w:rFonts w:eastAsia="Calibri" w:cstheme="minorHAnsi"/>
                <w:sz w:val="24"/>
                <w:szCs w:val="24"/>
                <w:lang w:val="fr-BE"/>
              </w:rPr>
              <w:t>wijkgezondheidscentra</w:t>
            </w:r>
            <w:proofErr w:type="spellEnd"/>
            <w:r w:rsidRPr="00AE4872">
              <w:rPr>
                <w:rFonts w:eastAsia="Calibri" w:cstheme="minorHAnsi"/>
                <w:sz w:val="24"/>
                <w:szCs w:val="24"/>
                <w:lang w:val="fr-BE"/>
              </w:rPr>
              <w:t xml:space="preserve"> les institutions telles que définies à l’article 11 de la CCT 08 octobre 2007 (</w:t>
            </w:r>
            <w:r w:rsidRPr="00892DB2">
              <w:rPr>
                <w:rFonts w:eastAsia="Calibri" w:cstheme="minorHAnsi"/>
                <w:sz w:val="24"/>
                <w:szCs w:val="24"/>
                <w:lang w:val="fr-BE"/>
              </w:rPr>
              <w:t>85.878/CO/330)</w:t>
            </w:r>
            <w:r w:rsidRPr="00AE4872">
              <w:rPr>
                <w:rFonts w:eastAsia="Calibri" w:cstheme="minorHAnsi"/>
                <w:sz w:val="24"/>
                <w:szCs w:val="24"/>
                <w:lang w:val="fr-BE"/>
              </w:rPr>
              <w:t xml:space="preserve"> “Mesures visant à promouvoir l'emploi dans le secteur des initiatives d'habitations protégées, des maisons médicales et des services de sang de la Croix Rouge de Belgique, modifié par la CCT du 08 janvier 2018 (145009/CO/330), c’est-à-dire celles qui :</w:t>
            </w:r>
          </w:p>
          <w:p w14:paraId="16B15AA9" w14:textId="77777777" w:rsidR="00892DB2" w:rsidRPr="00AE4872" w:rsidRDefault="00892DB2" w:rsidP="00892DB2">
            <w:pPr>
              <w:spacing w:line="228" w:lineRule="auto"/>
              <w:ind w:left="57" w:right="-35"/>
              <w:rPr>
                <w:rFonts w:eastAsia="Calibri" w:cstheme="minorHAnsi"/>
                <w:sz w:val="24"/>
                <w:szCs w:val="24"/>
                <w:lang w:val="fr-BE"/>
              </w:rPr>
            </w:pPr>
          </w:p>
          <w:p w14:paraId="2CEFD14C" w14:textId="208FABD4" w:rsidR="00892DB2" w:rsidRPr="00892DB2" w:rsidRDefault="00892DB2" w:rsidP="00892DB2">
            <w:pPr>
              <w:pStyle w:val="TableParagraph"/>
              <w:numPr>
                <w:ilvl w:val="0"/>
                <w:numId w:val="1"/>
              </w:numPr>
              <w:ind w:left="33" w:right="-35" w:firstLine="0"/>
              <w:rPr>
                <w:rFonts w:cstheme="minorHAnsi"/>
                <w:i/>
                <w:iCs/>
                <w:sz w:val="24"/>
                <w:szCs w:val="24"/>
              </w:rPr>
            </w:pPr>
            <w:proofErr w:type="gramStart"/>
            <w:r w:rsidRPr="00892DB2">
              <w:rPr>
                <w:rFonts w:cstheme="minorHAnsi"/>
                <w:sz w:val="24"/>
                <w:szCs w:val="24"/>
              </w:rPr>
              <w:t>sont</w:t>
            </w:r>
            <w:proofErr w:type="gramEnd"/>
            <w:r w:rsidRPr="00892DB2">
              <w:rPr>
                <w:rFonts w:cstheme="minorHAnsi"/>
                <w:sz w:val="24"/>
                <w:szCs w:val="24"/>
              </w:rPr>
              <w:t xml:space="preserve"> érigées sous la forme d'</w:t>
            </w:r>
            <w:proofErr w:type="spellStart"/>
            <w:r w:rsidRPr="00892DB2">
              <w:rPr>
                <w:rFonts w:cstheme="minorHAnsi"/>
                <w:sz w:val="24"/>
                <w:szCs w:val="24"/>
              </w:rPr>
              <w:t>a.s.b.l</w:t>
            </w:r>
            <w:proofErr w:type="spellEnd"/>
            <w:r w:rsidRPr="00892DB2">
              <w:rPr>
                <w:rFonts w:cstheme="minorHAnsi"/>
                <w:sz w:val="24"/>
                <w:szCs w:val="24"/>
              </w:rPr>
              <w:t>.;</w:t>
            </w:r>
          </w:p>
          <w:p w14:paraId="073D2A87" w14:textId="15325C75" w:rsidR="00892DB2" w:rsidRPr="00892DB2" w:rsidRDefault="00892DB2" w:rsidP="00892DB2">
            <w:pPr>
              <w:pStyle w:val="TableParagraph"/>
              <w:numPr>
                <w:ilvl w:val="0"/>
                <w:numId w:val="1"/>
              </w:numPr>
              <w:ind w:left="33" w:right="-35" w:firstLine="0"/>
              <w:rPr>
                <w:rFonts w:cstheme="minorHAnsi"/>
                <w:i/>
                <w:iCs/>
                <w:sz w:val="24"/>
                <w:szCs w:val="24"/>
              </w:rPr>
            </w:pPr>
            <w:proofErr w:type="gramStart"/>
            <w:r w:rsidRPr="00892DB2">
              <w:rPr>
                <w:rFonts w:cstheme="minorHAnsi"/>
                <w:sz w:val="24"/>
                <w:szCs w:val="24"/>
              </w:rPr>
              <w:t>offrent</w:t>
            </w:r>
            <w:proofErr w:type="gramEnd"/>
            <w:r w:rsidRPr="00892DB2">
              <w:rPr>
                <w:rFonts w:cstheme="minorHAnsi"/>
                <w:sz w:val="24"/>
                <w:szCs w:val="24"/>
              </w:rPr>
              <w:t xml:space="preserve"> un service de soins de santé pluridisciplinaire de première ligne où se trouvent groupées en un seul lieu plusieurs </w:t>
            </w:r>
            <w:r w:rsidR="001F6BE9" w:rsidRPr="00892DB2">
              <w:rPr>
                <w:rFonts w:cstheme="minorHAnsi"/>
                <w:sz w:val="24"/>
                <w:szCs w:val="24"/>
              </w:rPr>
              <w:t>disciplines ;</w:t>
            </w:r>
          </w:p>
          <w:p w14:paraId="401D5DB5" w14:textId="05245678" w:rsidR="00892DB2" w:rsidRPr="001F6BE9" w:rsidRDefault="00892DB2" w:rsidP="003114BF">
            <w:pPr>
              <w:pStyle w:val="TableParagraph"/>
              <w:numPr>
                <w:ilvl w:val="0"/>
                <w:numId w:val="1"/>
              </w:numPr>
              <w:ind w:left="33" w:right="-35" w:firstLine="0"/>
              <w:rPr>
                <w:rFonts w:cstheme="minorHAnsi"/>
                <w:sz w:val="24"/>
                <w:szCs w:val="24"/>
              </w:rPr>
            </w:pPr>
            <w:proofErr w:type="gramStart"/>
            <w:r w:rsidRPr="001F6BE9">
              <w:rPr>
                <w:rFonts w:cstheme="minorHAnsi"/>
                <w:sz w:val="24"/>
                <w:szCs w:val="24"/>
              </w:rPr>
              <w:t>appliquent</w:t>
            </w:r>
            <w:proofErr w:type="gramEnd"/>
            <w:r w:rsidRPr="001F6BE9">
              <w:rPr>
                <w:rFonts w:cstheme="minorHAnsi"/>
                <w:sz w:val="24"/>
                <w:szCs w:val="24"/>
              </w:rPr>
              <w:t xml:space="preserve"> un accord forfaitaire tel que prévu dans l'article 52. § 1er de la loi relative à l'assurance obligatoire soins de santé et indemnités coordonnée le 14 juillet 1994 ou sont agréées ou, pour les maisons médicales francophones</w:t>
            </w:r>
            <w:r w:rsidR="001F6BE9" w:rsidRPr="001F6BE9">
              <w:rPr>
                <w:rFonts w:cstheme="minorHAnsi"/>
                <w:sz w:val="24"/>
                <w:szCs w:val="24"/>
              </w:rPr>
              <w:t xml:space="preserve"> </w:t>
            </w:r>
            <w:r w:rsidRPr="001F6BE9">
              <w:rPr>
                <w:rFonts w:cstheme="minorHAnsi"/>
                <w:sz w:val="24"/>
                <w:szCs w:val="24"/>
              </w:rPr>
              <w:t>en Région de Bruxelles-Capitale, sont en possession</w:t>
            </w:r>
            <w:r w:rsidR="001F6BE9">
              <w:rPr>
                <w:rFonts w:cstheme="minorHAnsi"/>
                <w:sz w:val="24"/>
                <w:szCs w:val="24"/>
              </w:rPr>
              <w:t xml:space="preserve"> </w:t>
            </w:r>
            <w:r w:rsidRPr="001F6BE9">
              <w:rPr>
                <w:rFonts w:cstheme="minorHAnsi"/>
                <w:sz w:val="24"/>
                <w:szCs w:val="24"/>
              </w:rPr>
              <w:t xml:space="preserve">d'un courrier officiel du service de l'inspection de </w:t>
            </w:r>
            <w:r w:rsidR="001F6BE9">
              <w:rPr>
                <w:rFonts w:cstheme="minorHAnsi"/>
                <w:sz w:val="24"/>
                <w:szCs w:val="24"/>
              </w:rPr>
              <w:t>l</w:t>
            </w:r>
            <w:r w:rsidRPr="001F6BE9">
              <w:rPr>
                <w:rFonts w:cstheme="minorHAnsi"/>
                <w:sz w:val="24"/>
                <w:szCs w:val="24"/>
              </w:rPr>
              <w:t xml:space="preserve">'administration de la COCOF attestant que la demande d'agrément est recevable, ou reçoivent un  subside d'une </w:t>
            </w:r>
            <w:r w:rsidRPr="001F6BE9">
              <w:rPr>
                <w:rFonts w:cstheme="minorHAnsi"/>
                <w:sz w:val="24"/>
                <w:szCs w:val="24"/>
              </w:rPr>
              <w:lastRenderedPageBreak/>
              <w:t>autorité publique communautaire ou régionale au titre de "Centre de Santé intégré" ou "</w:t>
            </w:r>
            <w:proofErr w:type="spellStart"/>
            <w:r w:rsidRPr="001F6BE9">
              <w:rPr>
                <w:rFonts w:cstheme="minorHAnsi"/>
                <w:sz w:val="24"/>
                <w:szCs w:val="24"/>
              </w:rPr>
              <w:t>Geïntegreerd</w:t>
            </w:r>
            <w:proofErr w:type="spellEnd"/>
            <w:r w:rsidRPr="001F6BE9">
              <w:rPr>
                <w:rFonts w:cstheme="minorHAnsi"/>
                <w:sz w:val="24"/>
                <w:szCs w:val="24"/>
              </w:rPr>
              <w:t xml:space="preserve"> </w:t>
            </w:r>
            <w:proofErr w:type="spellStart"/>
            <w:r w:rsidRPr="001F6BE9">
              <w:rPr>
                <w:rFonts w:cstheme="minorHAnsi"/>
                <w:sz w:val="24"/>
                <w:szCs w:val="24"/>
              </w:rPr>
              <w:t>Gezondheidscentrum</w:t>
            </w:r>
            <w:proofErr w:type="spellEnd"/>
            <w:r w:rsidRPr="001F6BE9">
              <w:rPr>
                <w:rFonts w:cstheme="minorHAnsi"/>
                <w:sz w:val="24"/>
                <w:szCs w:val="24"/>
              </w:rPr>
              <w:t>".</w:t>
            </w:r>
          </w:p>
          <w:p w14:paraId="205A325B" w14:textId="77777777" w:rsidR="0093550A" w:rsidRPr="00AE4872" w:rsidRDefault="0093550A" w:rsidP="00AF4495">
            <w:pPr>
              <w:spacing w:line="228" w:lineRule="auto"/>
              <w:ind w:left="57" w:right="-35"/>
              <w:rPr>
                <w:rFonts w:eastAsia="Calibri" w:cstheme="minorHAnsi"/>
                <w:sz w:val="24"/>
                <w:szCs w:val="24"/>
                <w:lang w:val="fr-BE"/>
              </w:rPr>
            </w:pPr>
          </w:p>
          <w:p w14:paraId="3F4A9E95" w14:textId="77777777" w:rsidR="0093550A" w:rsidRPr="00AE4872" w:rsidRDefault="0093550A" w:rsidP="00AF4495">
            <w:pPr>
              <w:spacing w:after="287" w:line="227" w:lineRule="auto"/>
              <w:ind w:right="-35"/>
              <w:rPr>
                <w:rFonts w:cstheme="minorHAnsi"/>
                <w:caps/>
                <w:sz w:val="24"/>
                <w:szCs w:val="24"/>
                <w:u w:val="single"/>
                <w:lang w:val="fr-BE"/>
              </w:rPr>
            </w:pPr>
            <w:r w:rsidRPr="00AE4872">
              <w:rPr>
                <w:rFonts w:cstheme="minorHAnsi"/>
                <w:caps/>
                <w:sz w:val="24"/>
                <w:szCs w:val="24"/>
                <w:u w:val="single"/>
                <w:lang w:val="fr-BE"/>
              </w:rPr>
              <w:t>Chapitre 2 : Objet, applicabilité et modalités d’octroi</w:t>
            </w:r>
          </w:p>
          <w:p w14:paraId="2CB28595" w14:textId="77777777" w:rsidR="0093550A" w:rsidRPr="00F500F6" w:rsidRDefault="0093550A" w:rsidP="00AF4495">
            <w:pPr>
              <w:pStyle w:val="TableParagraph"/>
              <w:spacing w:line="271" w:lineRule="exact"/>
              <w:ind w:left="0" w:right="-35"/>
              <w:rPr>
                <w:rFonts w:asciiTheme="minorHAnsi" w:hAnsiTheme="minorHAnsi" w:cstheme="minorHAnsi"/>
                <w:b/>
                <w:sz w:val="24"/>
                <w:szCs w:val="24"/>
              </w:rPr>
            </w:pPr>
            <w:r w:rsidRPr="00F500F6">
              <w:rPr>
                <w:rFonts w:asciiTheme="minorHAnsi" w:hAnsiTheme="minorHAnsi" w:cstheme="minorHAnsi"/>
                <w:b/>
                <w:sz w:val="24"/>
                <w:szCs w:val="24"/>
              </w:rPr>
              <w:t>Article 2</w:t>
            </w:r>
          </w:p>
          <w:p w14:paraId="57BB7B98" w14:textId="2E38989D" w:rsidR="0093550A" w:rsidRPr="00F500F6" w:rsidRDefault="0093550A" w:rsidP="00AF4495">
            <w:pPr>
              <w:pStyle w:val="CM1"/>
              <w:ind w:right="-35"/>
              <w:rPr>
                <w:rFonts w:asciiTheme="minorHAnsi" w:hAnsiTheme="minorHAnsi" w:cstheme="minorHAnsi"/>
                <w:b/>
                <w:color w:val="000000"/>
                <w:szCs w:val="24"/>
              </w:rPr>
            </w:pPr>
            <w:bookmarkStart w:id="0" w:name="_Hlk57650152"/>
            <w:r w:rsidRPr="00F500F6">
              <w:rPr>
                <w:rFonts w:asciiTheme="minorHAnsi" w:hAnsiTheme="minorHAnsi" w:cstheme="minorHAnsi"/>
                <w:szCs w:val="24"/>
              </w:rPr>
              <w:t xml:space="preserve">La présente convention collective de travail a pour </w:t>
            </w:r>
            <w:r w:rsidRPr="00506E88">
              <w:rPr>
                <w:rFonts w:asciiTheme="minorHAnsi" w:hAnsiTheme="minorHAnsi" w:cstheme="minorHAnsi"/>
                <w:szCs w:val="24"/>
              </w:rPr>
              <w:t xml:space="preserve">objet </w:t>
            </w:r>
            <w:r w:rsidRPr="00506E88">
              <w:rPr>
                <w:rFonts w:asciiTheme="minorHAnsi" w:hAnsiTheme="minorHAnsi" w:cstheme="minorHAnsi"/>
                <w:color w:val="000000"/>
                <w:szCs w:val="24"/>
              </w:rPr>
              <w:t xml:space="preserve">l’octroi exceptionnel d’une prime unique aux membres du </w:t>
            </w:r>
            <w:r w:rsidRPr="008514CB">
              <w:rPr>
                <w:rFonts w:asciiTheme="minorHAnsi" w:hAnsiTheme="minorHAnsi" w:cstheme="minorHAnsi"/>
                <w:color w:val="000000"/>
                <w:szCs w:val="24"/>
              </w:rPr>
              <w:t xml:space="preserve">personnel </w:t>
            </w:r>
            <w:r w:rsidR="00AE4872" w:rsidRPr="008514CB">
              <w:rPr>
                <w:rFonts w:asciiTheme="minorHAnsi" w:hAnsiTheme="minorHAnsi" w:cstheme="minorHAnsi"/>
                <w:color w:val="000000"/>
                <w:szCs w:val="24"/>
              </w:rPr>
              <w:t>o</w:t>
            </w:r>
            <w:bookmarkStart w:id="1" w:name="_GoBack"/>
            <w:bookmarkEnd w:id="1"/>
            <w:r w:rsidR="00AE4872" w:rsidRPr="008514CB">
              <w:rPr>
                <w:rFonts w:asciiTheme="minorHAnsi" w:hAnsiTheme="minorHAnsi" w:cstheme="minorHAnsi"/>
                <w:color w:val="000000"/>
                <w:szCs w:val="24"/>
              </w:rPr>
              <w:t>ccupé dans l</w:t>
            </w:r>
            <w:r w:rsidR="00AE4872" w:rsidRPr="008514CB">
              <w:rPr>
                <w:rFonts w:asciiTheme="minorHAnsi" w:hAnsiTheme="minorHAnsi" w:cstheme="minorHAnsi"/>
                <w:szCs w:val="24"/>
                <w:shd w:val="clear" w:color="auto" w:fill="FFFFFF"/>
              </w:rPr>
              <w:t>es maisons médicales</w:t>
            </w:r>
            <w:r w:rsidR="00AE4872">
              <w:rPr>
                <w:rFonts w:asciiTheme="minorHAnsi" w:hAnsiTheme="minorHAnsi" w:cstheme="minorHAnsi"/>
                <w:szCs w:val="24"/>
                <w:shd w:val="clear" w:color="auto" w:fill="FFFFFF"/>
              </w:rPr>
              <w:t xml:space="preserve">, </w:t>
            </w:r>
            <w:r w:rsidRPr="00506E88">
              <w:rPr>
                <w:rFonts w:asciiTheme="minorHAnsi" w:hAnsiTheme="minorHAnsi" w:cstheme="minorHAnsi"/>
                <w:color w:val="000000"/>
                <w:szCs w:val="24"/>
              </w:rPr>
              <w:t>ayant presté pendant la crise sanitaire de la COVID-19</w:t>
            </w:r>
            <w:r w:rsidR="00AE4872">
              <w:rPr>
                <w:rFonts w:asciiTheme="minorHAnsi" w:hAnsiTheme="minorHAnsi" w:cstheme="minorHAnsi"/>
                <w:color w:val="000000"/>
                <w:szCs w:val="24"/>
              </w:rPr>
              <w:t>.</w:t>
            </w:r>
            <w:r w:rsidRPr="00506E88">
              <w:rPr>
                <w:rFonts w:asciiTheme="minorHAnsi" w:hAnsiTheme="minorHAnsi" w:cstheme="minorHAnsi"/>
                <w:color w:val="000000"/>
                <w:szCs w:val="24"/>
              </w:rPr>
              <w:t xml:space="preserve"> </w:t>
            </w:r>
          </w:p>
          <w:bookmarkEnd w:id="0"/>
          <w:p w14:paraId="4E816796" w14:textId="77777777" w:rsidR="0093550A" w:rsidRPr="00F500F6" w:rsidRDefault="0093550A" w:rsidP="00AF4495">
            <w:pPr>
              <w:pStyle w:val="TableParagraph"/>
              <w:spacing w:line="271" w:lineRule="exact"/>
              <w:ind w:left="0" w:right="-35"/>
              <w:rPr>
                <w:rFonts w:asciiTheme="minorHAnsi" w:hAnsiTheme="minorHAnsi" w:cstheme="minorHAnsi"/>
                <w:sz w:val="24"/>
                <w:szCs w:val="24"/>
                <w:lang w:val="fr-FR"/>
              </w:rPr>
            </w:pPr>
          </w:p>
          <w:p w14:paraId="556FB883" w14:textId="77777777" w:rsidR="0093550A" w:rsidRPr="00F500F6" w:rsidRDefault="0093550A" w:rsidP="00AF4495">
            <w:pPr>
              <w:pStyle w:val="TableParagraph"/>
              <w:spacing w:line="271" w:lineRule="exact"/>
              <w:ind w:left="0" w:right="-35"/>
              <w:rPr>
                <w:rFonts w:asciiTheme="minorHAnsi" w:hAnsiTheme="minorHAnsi" w:cstheme="minorHAnsi"/>
                <w:b/>
                <w:sz w:val="24"/>
                <w:szCs w:val="24"/>
              </w:rPr>
            </w:pPr>
            <w:bookmarkStart w:id="2" w:name="_Hlk57650173"/>
            <w:r w:rsidRPr="00F500F6">
              <w:rPr>
                <w:rFonts w:asciiTheme="minorHAnsi" w:hAnsiTheme="minorHAnsi" w:cstheme="minorHAnsi"/>
                <w:b/>
                <w:sz w:val="24"/>
                <w:szCs w:val="24"/>
              </w:rPr>
              <w:t>Article 3 </w:t>
            </w:r>
          </w:p>
          <w:p w14:paraId="3A065D52" w14:textId="77777777" w:rsidR="0093550A" w:rsidRPr="00F500F6" w:rsidRDefault="0093550A" w:rsidP="00AF4495">
            <w:pPr>
              <w:pStyle w:val="TableParagraph"/>
              <w:ind w:left="0" w:right="-35"/>
              <w:rPr>
                <w:rFonts w:asciiTheme="minorHAnsi" w:hAnsiTheme="minorHAnsi" w:cstheme="minorHAnsi"/>
                <w:sz w:val="24"/>
                <w:szCs w:val="24"/>
              </w:rPr>
            </w:pPr>
            <w:r w:rsidRPr="00F500F6">
              <w:rPr>
                <w:rFonts w:asciiTheme="minorHAnsi" w:hAnsiTheme="minorHAnsi" w:cstheme="minorHAnsi"/>
                <w:sz w:val="24"/>
                <w:szCs w:val="24"/>
              </w:rPr>
              <w:t xml:space="preserve">Les modalités d’octroi de cette prime unique d’encouragement et les modalités de financement sont fixées dans la présente convention collective de travail.   </w:t>
            </w:r>
          </w:p>
          <w:p w14:paraId="4FCCC2AC" w14:textId="77777777" w:rsidR="00CA483F" w:rsidRPr="00F500F6" w:rsidRDefault="00CA483F" w:rsidP="00AF4495">
            <w:pPr>
              <w:pStyle w:val="TableParagraph"/>
              <w:ind w:left="0" w:right="-35"/>
              <w:rPr>
                <w:rFonts w:asciiTheme="minorHAnsi" w:hAnsiTheme="minorHAnsi" w:cstheme="minorHAnsi"/>
                <w:sz w:val="24"/>
                <w:szCs w:val="24"/>
              </w:rPr>
            </w:pPr>
          </w:p>
          <w:p w14:paraId="51C4DDCF" w14:textId="77777777" w:rsidR="0093550A" w:rsidRPr="00F500F6" w:rsidRDefault="0093550A" w:rsidP="00AF4495">
            <w:pPr>
              <w:pStyle w:val="TableParagraph"/>
              <w:ind w:left="0" w:right="-35"/>
              <w:rPr>
                <w:rFonts w:asciiTheme="minorHAnsi" w:hAnsiTheme="minorHAnsi" w:cstheme="minorHAnsi"/>
                <w:b/>
                <w:sz w:val="24"/>
                <w:szCs w:val="24"/>
              </w:rPr>
            </w:pPr>
            <w:r w:rsidRPr="00F500F6">
              <w:rPr>
                <w:rFonts w:asciiTheme="minorHAnsi" w:hAnsiTheme="minorHAnsi" w:cstheme="minorHAnsi"/>
                <w:b/>
                <w:sz w:val="24"/>
                <w:szCs w:val="24"/>
              </w:rPr>
              <w:t>Article 4</w:t>
            </w:r>
          </w:p>
          <w:p w14:paraId="087E2784" w14:textId="77777777" w:rsidR="0093550A" w:rsidRPr="00F500F6" w:rsidRDefault="0093550A" w:rsidP="00AF4495">
            <w:pPr>
              <w:pStyle w:val="TableParagraph"/>
              <w:ind w:left="0" w:right="-35"/>
              <w:rPr>
                <w:rFonts w:asciiTheme="minorHAnsi" w:hAnsiTheme="minorHAnsi" w:cstheme="minorHAnsi"/>
                <w:sz w:val="24"/>
                <w:szCs w:val="24"/>
              </w:rPr>
            </w:pPr>
            <w:r w:rsidRPr="00F500F6">
              <w:rPr>
                <w:rFonts w:asciiTheme="minorHAnsi" w:hAnsiTheme="minorHAnsi" w:cstheme="minorHAnsi"/>
                <w:sz w:val="24"/>
                <w:szCs w:val="24"/>
              </w:rPr>
              <w:t>La prime est versée sur base des modalités reprises ci-dessous.</w:t>
            </w:r>
          </w:p>
          <w:p w14:paraId="79665E83" w14:textId="77777777" w:rsidR="009111FF" w:rsidRPr="00F500F6" w:rsidRDefault="009111FF" w:rsidP="00AF4495">
            <w:pPr>
              <w:pStyle w:val="TableParagraph"/>
              <w:ind w:left="0" w:right="-35"/>
              <w:rPr>
                <w:rFonts w:asciiTheme="minorHAnsi" w:hAnsiTheme="minorHAnsi" w:cstheme="minorHAnsi"/>
                <w:sz w:val="24"/>
                <w:szCs w:val="24"/>
              </w:rPr>
            </w:pPr>
          </w:p>
          <w:p w14:paraId="599C6168" w14:textId="2FA5DCE6" w:rsidR="00614B0D" w:rsidRPr="006D2E82" w:rsidRDefault="0093550A" w:rsidP="006D2E82">
            <w:pPr>
              <w:pStyle w:val="TableParagraph"/>
              <w:numPr>
                <w:ilvl w:val="0"/>
                <w:numId w:val="1"/>
              </w:numPr>
              <w:ind w:left="33" w:right="-35" w:firstLine="0"/>
              <w:rPr>
                <w:rFonts w:asciiTheme="minorHAnsi" w:hAnsiTheme="minorHAnsi" w:cstheme="minorHAnsi"/>
                <w:sz w:val="24"/>
                <w:szCs w:val="24"/>
              </w:rPr>
            </w:pPr>
            <w:r w:rsidRPr="00F500F6">
              <w:rPr>
                <w:rFonts w:asciiTheme="minorHAnsi" w:hAnsiTheme="minorHAnsi" w:cstheme="minorHAnsi"/>
                <w:sz w:val="24"/>
                <w:szCs w:val="24"/>
              </w:rPr>
              <w:t>La prime est octroyée à tous les travailleurs salariés (y compris les étudiants) occupés dans le secteur des maisons médicales et relevant de la CP330, ainsi que le personnel intérimaire qui travaille dans ce secteur ;</w:t>
            </w:r>
          </w:p>
          <w:p w14:paraId="7113A260" w14:textId="2D49E6CF" w:rsidR="0093550A" w:rsidRDefault="0093550A" w:rsidP="009111FF">
            <w:pPr>
              <w:pStyle w:val="TableParagraph"/>
              <w:numPr>
                <w:ilvl w:val="0"/>
                <w:numId w:val="1"/>
              </w:numPr>
              <w:ind w:left="33" w:right="-35" w:firstLine="0"/>
              <w:rPr>
                <w:rFonts w:asciiTheme="minorHAnsi" w:hAnsiTheme="minorHAnsi" w:cstheme="minorHAnsi"/>
                <w:sz w:val="24"/>
                <w:szCs w:val="24"/>
              </w:rPr>
            </w:pPr>
            <w:r w:rsidRPr="00F500F6">
              <w:rPr>
                <w:rFonts w:asciiTheme="minorHAnsi" w:hAnsiTheme="minorHAnsi" w:cstheme="minorHAnsi"/>
                <w:sz w:val="24"/>
                <w:szCs w:val="24"/>
              </w:rPr>
              <w:t xml:space="preserve">Le personnel a droit à une prime exceptionnelle par travailleur (une seule fois par travailleur) de 985 € brut pour un emploi à temps plein pendant la période de référence du 1er septembre 2020 au 30 novembre 2020 sur base du temps de travail payé et des prestations assimilées payées. Les périodes de chômage temporaire </w:t>
            </w:r>
            <w:proofErr w:type="spellStart"/>
            <w:r w:rsidRPr="00F500F6">
              <w:rPr>
                <w:rFonts w:asciiTheme="minorHAnsi" w:hAnsiTheme="minorHAnsi" w:cstheme="minorHAnsi"/>
                <w:sz w:val="24"/>
                <w:szCs w:val="24"/>
              </w:rPr>
              <w:t>Covid</w:t>
            </w:r>
            <w:proofErr w:type="spellEnd"/>
            <w:r w:rsidRPr="00F500F6">
              <w:rPr>
                <w:rFonts w:asciiTheme="minorHAnsi" w:hAnsiTheme="minorHAnsi" w:cstheme="minorHAnsi"/>
                <w:sz w:val="24"/>
                <w:szCs w:val="24"/>
              </w:rPr>
              <w:t xml:space="preserve"> 19 en raison de quarantaine doivent être prises en compte.</w:t>
            </w:r>
          </w:p>
          <w:p w14:paraId="0EA75FC0" w14:textId="2D5601A1" w:rsidR="00AE4872" w:rsidRPr="008514CB" w:rsidRDefault="00AE4872" w:rsidP="0051165C">
            <w:pPr>
              <w:pStyle w:val="TableParagraph"/>
              <w:numPr>
                <w:ilvl w:val="0"/>
                <w:numId w:val="1"/>
              </w:numPr>
              <w:ind w:left="33" w:right="-35" w:firstLine="0"/>
              <w:rPr>
                <w:rFonts w:asciiTheme="minorHAnsi" w:hAnsiTheme="minorHAnsi" w:cstheme="minorHAnsi"/>
                <w:sz w:val="24"/>
                <w:szCs w:val="24"/>
              </w:rPr>
            </w:pPr>
            <w:r w:rsidRPr="008514CB">
              <w:rPr>
                <w:rFonts w:asciiTheme="minorHAnsi" w:hAnsiTheme="minorHAnsi" w:cstheme="minorHAnsi"/>
                <w:sz w:val="24"/>
                <w:szCs w:val="24"/>
              </w:rPr>
              <w:t xml:space="preserve">La prime est calculée au prorata du temps de travail et de la période de travail au sein de cette période de référence ; </w:t>
            </w:r>
          </w:p>
          <w:p w14:paraId="07287117" w14:textId="311E9DF2" w:rsidR="00614B0D" w:rsidRPr="008514CB" w:rsidRDefault="00AE4872" w:rsidP="004D7053">
            <w:pPr>
              <w:pStyle w:val="TableParagraph"/>
              <w:numPr>
                <w:ilvl w:val="0"/>
                <w:numId w:val="1"/>
              </w:numPr>
              <w:ind w:left="33" w:right="-35" w:firstLine="0"/>
              <w:rPr>
                <w:rFonts w:asciiTheme="minorHAnsi" w:hAnsiTheme="minorHAnsi" w:cstheme="minorHAnsi"/>
                <w:sz w:val="24"/>
                <w:szCs w:val="24"/>
              </w:rPr>
            </w:pPr>
            <w:r w:rsidRPr="008514CB">
              <w:rPr>
                <w:rFonts w:asciiTheme="minorHAnsi" w:hAnsiTheme="minorHAnsi" w:cstheme="minorHAnsi"/>
                <w:sz w:val="24"/>
                <w:szCs w:val="24"/>
              </w:rPr>
              <w:t xml:space="preserve">Les heures </w:t>
            </w:r>
            <w:r w:rsidR="008514CB" w:rsidRPr="008514CB">
              <w:rPr>
                <w:rFonts w:asciiTheme="minorHAnsi" w:hAnsiTheme="minorHAnsi" w:cstheme="minorHAnsi"/>
                <w:sz w:val="24"/>
                <w:szCs w:val="24"/>
              </w:rPr>
              <w:t>s</w:t>
            </w:r>
            <w:r w:rsidRPr="008514CB">
              <w:rPr>
                <w:rFonts w:asciiTheme="minorHAnsi" w:hAnsiTheme="minorHAnsi" w:cstheme="minorHAnsi"/>
                <w:sz w:val="24"/>
                <w:szCs w:val="24"/>
              </w:rPr>
              <w:t>upplémentaires</w:t>
            </w:r>
            <w:r w:rsidR="008514CB" w:rsidRPr="008514CB">
              <w:rPr>
                <w:rFonts w:asciiTheme="minorHAnsi" w:hAnsiTheme="minorHAnsi" w:cstheme="minorHAnsi"/>
                <w:sz w:val="24"/>
                <w:szCs w:val="24"/>
              </w:rPr>
              <w:t xml:space="preserve"> </w:t>
            </w:r>
            <w:r w:rsidRPr="008514CB">
              <w:rPr>
                <w:rFonts w:asciiTheme="minorHAnsi" w:hAnsiTheme="minorHAnsi" w:cstheme="minorHAnsi"/>
                <w:sz w:val="24"/>
                <w:szCs w:val="24"/>
              </w:rPr>
              <w:t>/</w:t>
            </w:r>
            <w:r w:rsidR="008514CB" w:rsidRPr="008514CB">
              <w:rPr>
                <w:rFonts w:asciiTheme="minorHAnsi" w:hAnsiTheme="minorHAnsi" w:cstheme="minorHAnsi"/>
                <w:sz w:val="24"/>
                <w:szCs w:val="24"/>
              </w:rPr>
              <w:t xml:space="preserve"> </w:t>
            </w:r>
            <w:r w:rsidRPr="008514CB">
              <w:rPr>
                <w:rFonts w:asciiTheme="minorHAnsi" w:hAnsiTheme="minorHAnsi" w:cstheme="minorHAnsi"/>
                <w:sz w:val="24"/>
                <w:szCs w:val="24"/>
              </w:rPr>
              <w:t>complémentaires rémunérées sont incluses dans le calcul sans dépasser le temps de travail d’un travailleur à temps plein ;</w:t>
            </w:r>
          </w:p>
          <w:p w14:paraId="10CC07A9" w14:textId="0B6E8F11" w:rsidR="00EA5B50" w:rsidRPr="008514CB" w:rsidRDefault="0093550A" w:rsidP="00F3507F">
            <w:pPr>
              <w:pStyle w:val="TableParagraph"/>
              <w:numPr>
                <w:ilvl w:val="0"/>
                <w:numId w:val="1"/>
              </w:numPr>
              <w:ind w:left="0" w:right="-35" w:firstLine="0"/>
              <w:rPr>
                <w:rFonts w:asciiTheme="minorHAnsi" w:hAnsiTheme="minorHAnsi" w:cstheme="minorHAnsi"/>
                <w:sz w:val="24"/>
                <w:szCs w:val="24"/>
              </w:rPr>
            </w:pPr>
            <w:r w:rsidRPr="008514CB">
              <w:rPr>
                <w:rFonts w:asciiTheme="minorHAnsi" w:hAnsiTheme="minorHAnsi" w:cstheme="minorHAnsi"/>
                <w:sz w:val="24"/>
                <w:szCs w:val="24"/>
              </w:rPr>
              <w:t xml:space="preserve">Les travailleurs qui ont eu des prestations pendant la période de référence, mais qui ont quitté l’institution à la date d’attribution de la prime, ont </w:t>
            </w:r>
            <w:r w:rsidRPr="008514CB">
              <w:rPr>
                <w:rFonts w:asciiTheme="minorHAnsi" w:hAnsiTheme="minorHAnsi" w:cstheme="minorHAnsi"/>
                <w:sz w:val="24"/>
                <w:szCs w:val="24"/>
              </w:rPr>
              <w:lastRenderedPageBreak/>
              <w:t>droit à la prime unique ;</w:t>
            </w:r>
          </w:p>
          <w:p w14:paraId="2E1A1A21" w14:textId="3312BDF6" w:rsidR="0093550A" w:rsidRPr="00EA5B50" w:rsidRDefault="0093550A" w:rsidP="00EA5B50">
            <w:pPr>
              <w:pStyle w:val="TableParagraph"/>
              <w:numPr>
                <w:ilvl w:val="0"/>
                <w:numId w:val="1"/>
              </w:numPr>
              <w:ind w:left="33" w:right="-35" w:firstLine="0"/>
              <w:rPr>
                <w:rFonts w:asciiTheme="minorHAnsi" w:hAnsiTheme="minorHAnsi" w:cstheme="minorHAnsi"/>
                <w:sz w:val="24"/>
                <w:szCs w:val="24"/>
              </w:rPr>
            </w:pPr>
            <w:r w:rsidRPr="00F500F6">
              <w:rPr>
                <w:rFonts w:asciiTheme="minorHAnsi" w:hAnsiTheme="minorHAnsi" w:cstheme="minorHAnsi"/>
                <w:sz w:val="24"/>
                <w:szCs w:val="24"/>
              </w:rPr>
              <w:t xml:space="preserve">La prime est à payer par l'employeur avant le 31/03/2021. </w:t>
            </w:r>
          </w:p>
          <w:p w14:paraId="1F6CED70" w14:textId="77777777" w:rsidR="009111FF" w:rsidRDefault="009111FF" w:rsidP="00AF4495">
            <w:pPr>
              <w:pStyle w:val="TableParagraph"/>
              <w:ind w:left="0" w:right="-35"/>
              <w:rPr>
                <w:rFonts w:asciiTheme="minorHAnsi" w:hAnsiTheme="minorHAnsi" w:cstheme="minorHAnsi"/>
                <w:b/>
                <w:sz w:val="24"/>
                <w:szCs w:val="24"/>
              </w:rPr>
            </w:pPr>
          </w:p>
          <w:p w14:paraId="6E7A9302" w14:textId="7E74B4EF" w:rsidR="0093550A" w:rsidRPr="00F500F6" w:rsidRDefault="0093550A" w:rsidP="00AF4495">
            <w:pPr>
              <w:pStyle w:val="TableParagraph"/>
              <w:ind w:left="0" w:right="-35"/>
              <w:rPr>
                <w:rFonts w:asciiTheme="minorHAnsi" w:hAnsiTheme="minorHAnsi" w:cstheme="minorHAnsi"/>
                <w:b/>
                <w:sz w:val="24"/>
                <w:szCs w:val="24"/>
              </w:rPr>
            </w:pPr>
            <w:r w:rsidRPr="00F500F6">
              <w:rPr>
                <w:rFonts w:asciiTheme="minorHAnsi" w:hAnsiTheme="minorHAnsi" w:cstheme="minorHAnsi"/>
                <w:b/>
                <w:sz w:val="24"/>
                <w:szCs w:val="24"/>
              </w:rPr>
              <w:t>Article 5</w:t>
            </w:r>
          </w:p>
          <w:p w14:paraId="6F66A098" w14:textId="77777777" w:rsidR="0093550A" w:rsidRPr="00F500F6" w:rsidRDefault="0093550A" w:rsidP="009111FF">
            <w:pPr>
              <w:pStyle w:val="TableParagraph"/>
              <w:ind w:left="0" w:right="-35"/>
              <w:rPr>
                <w:rFonts w:asciiTheme="minorHAnsi" w:hAnsiTheme="minorHAnsi" w:cstheme="minorHAnsi"/>
                <w:sz w:val="24"/>
                <w:szCs w:val="24"/>
              </w:rPr>
            </w:pPr>
            <w:r w:rsidRPr="00F500F6">
              <w:rPr>
                <w:rFonts w:asciiTheme="minorHAnsi" w:hAnsiTheme="minorHAnsi" w:cstheme="minorHAnsi"/>
                <w:sz w:val="24"/>
                <w:szCs w:val="24"/>
              </w:rPr>
              <w:t>Modalités de financement.</w:t>
            </w:r>
          </w:p>
          <w:p w14:paraId="61ECB0E5" w14:textId="43878224" w:rsidR="00F500F6" w:rsidRDefault="00F500F6" w:rsidP="00AF4495">
            <w:pPr>
              <w:pStyle w:val="TableParagraph"/>
              <w:ind w:left="0" w:right="-35"/>
              <w:rPr>
                <w:rFonts w:asciiTheme="minorHAnsi" w:hAnsiTheme="minorHAnsi" w:cstheme="minorHAnsi"/>
                <w:sz w:val="24"/>
                <w:szCs w:val="24"/>
              </w:rPr>
            </w:pPr>
          </w:p>
          <w:p w14:paraId="504B24B2" w14:textId="33B61508" w:rsidR="0093550A" w:rsidRPr="00F500F6" w:rsidRDefault="0093550A" w:rsidP="00AF4495">
            <w:pPr>
              <w:pStyle w:val="TableParagraph"/>
              <w:ind w:left="0" w:right="-35"/>
              <w:rPr>
                <w:rFonts w:asciiTheme="minorHAnsi" w:hAnsiTheme="minorHAnsi" w:cstheme="minorHAnsi"/>
                <w:sz w:val="24"/>
                <w:szCs w:val="24"/>
              </w:rPr>
            </w:pPr>
            <w:r w:rsidRPr="00F500F6">
              <w:rPr>
                <w:rFonts w:asciiTheme="minorHAnsi" w:hAnsiTheme="minorHAnsi" w:cstheme="minorHAnsi"/>
                <w:sz w:val="24"/>
                <w:szCs w:val="24"/>
              </w:rPr>
              <w:t>Les parties conviennent explicitement que l’application de la présente convention est liée à son financement complet par la Chambre 5 du FSMS 330. Les employeurs sont tenus de respecter les conditions de financement prévues par ladite chambre.</w:t>
            </w:r>
          </w:p>
          <w:p w14:paraId="65CF6D10" w14:textId="77777777" w:rsidR="00F500F6" w:rsidRDefault="00F500F6" w:rsidP="00EA5B50">
            <w:pPr>
              <w:pStyle w:val="TableParagraph"/>
              <w:ind w:left="0" w:right="-35"/>
              <w:rPr>
                <w:rFonts w:asciiTheme="minorHAnsi" w:hAnsiTheme="minorHAnsi" w:cstheme="minorHAnsi"/>
                <w:b/>
                <w:sz w:val="24"/>
                <w:szCs w:val="24"/>
              </w:rPr>
            </w:pPr>
          </w:p>
          <w:p w14:paraId="6197DE92" w14:textId="77777777" w:rsidR="0093550A" w:rsidRPr="00F500F6" w:rsidRDefault="0093550A" w:rsidP="009111FF">
            <w:pPr>
              <w:pStyle w:val="TableParagraph"/>
              <w:ind w:left="0" w:right="-35"/>
              <w:rPr>
                <w:rFonts w:asciiTheme="minorHAnsi" w:hAnsiTheme="minorHAnsi" w:cstheme="minorHAnsi"/>
                <w:b/>
                <w:sz w:val="24"/>
                <w:szCs w:val="24"/>
              </w:rPr>
            </w:pPr>
            <w:r w:rsidRPr="00F500F6">
              <w:rPr>
                <w:rFonts w:asciiTheme="minorHAnsi" w:hAnsiTheme="minorHAnsi" w:cstheme="minorHAnsi"/>
                <w:b/>
                <w:sz w:val="24"/>
                <w:szCs w:val="24"/>
              </w:rPr>
              <w:t>Article 6</w:t>
            </w:r>
          </w:p>
          <w:p w14:paraId="1A426620" w14:textId="77777777" w:rsidR="0093550A" w:rsidRPr="00F500F6" w:rsidRDefault="0093550A" w:rsidP="009111FF">
            <w:pPr>
              <w:pStyle w:val="TableParagraph"/>
              <w:ind w:left="0" w:right="-35"/>
              <w:rPr>
                <w:rFonts w:asciiTheme="minorHAnsi" w:hAnsiTheme="minorHAnsi" w:cstheme="minorHAnsi"/>
                <w:sz w:val="24"/>
                <w:szCs w:val="24"/>
              </w:rPr>
            </w:pPr>
            <w:r w:rsidRPr="00F500F6">
              <w:rPr>
                <w:rFonts w:asciiTheme="minorHAnsi" w:hAnsiTheme="minorHAnsi" w:cstheme="minorHAnsi"/>
                <w:sz w:val="24"/>
                <w:szCs w:val="24"/>
              </w:rPr>
              <w:t>Cette prime unique d’encouragement ne vient pas en remplacement ou en conversion de la rémunération, de primes, d’avantages en nature ou d’un quelconque autre avantage ou complément à tout ce précède, faisant l’objet ou non de cotisations de sécurité sociale.</w:t>
            </w:r>
          </w:p>
          <w:p w14:paraId="0054A05D" w14:textId="77777777" w:rsidR="0093550A" w:rsidRPr="00F500F6" w:rsidRDefault="0093550A" w:rsidP="00AF4495">
            <w:pPr>
              <w:pStyle w:val="TableParagraph"/>
              <w:ind w:right="-35"/>
              <w:rPr>
                <w:rFonts w:asciiTheme="minorHAnsi" w:hAnsiTheme="minorHAnsi" w:cstheme="minorHAnsi"/>
                <w:sz w:val="24"/>
                <w:szCs w:val="24"/>
              </w:rPr>
            </w:pPr>
          </w:p>
          <w:p w14:paraId="4998AEE1" w14:textId="77777777" w:rsidR="0093550A" w:rsidRPr="00F500F6" w:rsidRDefault="00F500F6" w:rsidP="009111FF">
            <w:pPr>
              <w:pStyle w:val="TableParagraph"/>
              <w:ind w:left="0" w:right="-35"/>
              <w:rPr>
                <w:rFonts w:asciiTheme="minorHAnsi" w:hAnsiTheme="minorHAnsi" w:cstheme="minorHAnsi"/>
                <w:bCs/>
                <w:sz w:val="24"/>
                <w:szCs w:val="24"/>
                <w:u w:val="single"/>
              </w:rPr>
            </w:pPr>
            <w:r w:rsidRPr="00F500F6">
              <w:rPr>
                <w:rFonts w:asciiTheme="minorHAnsi" w:hAnsiTheme="minorHAnsi" w:cstheme="minorHAnsi"/>
                <w:bCs/>
                <w:sz w:val="24"/>
                <w:szCs w:val="24"/>
                <w:u w:val="single"/>
              </w:rPr>
              <w:t xml:space="preserve">CHAPITRE </w:t>
            </w:r>
            <w:proofErr w:type="gramStart"/>
            <w:r w:rsidRPr="00F500F6">
              <w:rPr>
                <w:rFonts w:asciiTheme="minorHAnsi" w:hAnsiTheme="minorHAnsi" w:cstheme="minorHAnsi"/>
                <w:bCs/>
                <w:sz w:val="24"/>
                <w:szCs w:val="24"/>
                <w:u w:val="single"/>
              </w:rPr>
              <w:t>3  :</w:t>
            </w:r>
            <w:proofErr w:type="gramEnd"/>
            <w:r w:rsidRPr="00F500F6">
              <w:rPr>
                <w:rFonts w:asciiTheme="minorHAnsi" w:hAnsiTheme="minorHAnsi" w:cstheme="minorHAnsi"/>
                <w:bCs/>
                <w:sz w:val="24"/>
                <w:szCs w:val="24"/>
                <w:u w:val="single"/>
              </w:rPr>
              <w:t xml:space="preserve"> DISPOSITIONS FINALES</w:t>
            </w:r>
          </w:p>
          <w:p w14:paraId="0179D632" w14:textId="77777777" w:rsidR="0093550A" w:rsidRPr="00F500F6" w:rsidRDefault="0093550A" w:rsidP="00AF4495">
            <w:pPr>
              <w:pStyle w:val="TableParagraph"/>
              <w:ind w:right="-35"/>
              <w:rPr>
                <w:rFonts w:asciiTheme="minorHAnsi" w:hAnsiTheme="minorHAnsi" w:cstheme="minorHAnsi"/>
                <w:b/>
                <w:bCs/>
                <w:sz w:val="24"/>
                <w:szCs w:val="24"/>
              </w:rPr>
            </w:pPr>
          </w:p>
          <w:p w14:paraId="3A1ADF9B" w14:textId="77777777" w:rsidR="0093550A" w:rsidRPr="00BA1B3F" w:rsidRDefault="0093550A" w:rsidP="009111FF">
            <w:pPr>
              <w:pStyle w:val="TableParagraph"/>
              <w:ind w:left="0" w:right="-35"/>
              <w:rPr>
                <w:rFonts w:asciiTheme="minorHAnsi" w:hAnsiTheme="minorHAnsi" w:cstheme="minorHAnsi"/>
                <w:b/>
                <w:sz w:val="24"/>
                <w:szCs w:val="24"/>
              </w:rPr>
            </w:pPr>
            <w:r w:rsidRPr="00BA1B3F">
              <w:rPr>
                <w:rFonts w:asciiTheme="minorHAnsi" w:hAnsiTheme="minorHAnsi" w:cstheme="minorHAnsi"/>
                <w:b/>
                <w:sz w:val="24"/>
                <w:szCs w:val="24"/>
              </w:rPr>
              <w:t>Article 7</w:t>
            </w:r>
          </w:p>
          <w:p w14:paraId="340113EE" w14:textId="77777777" w:rsidR="0093550A" w:rsidRDefault="0093550A" w:rsidP="009111FF">
            <w:pPr>
              <w:pStyle w:val="TableParagraph"/>
              <w:ind w:left="0" w:right="-35"/>
              <w:rPr>
                <w:rFonts w:asciiTheme="minorHAnsi" w:hAnsiTheme="minorHAnsi" w:cstheme="minorHAnsi"/>
                <w:sz w:val="24"/>
                <w:szCs w:val="24"/>
              </w:rPr>
            </w:pPr>
            <w:r w:rsidRPr="009111FF">
              <w:rPr>
                <w:rFonts w:asciiTheme="minorHAnsi" w:hAnsiTheme="minorHAnsi" w:cstheme="minorHAnsi"/>
                <w:b/>
                <w:sz w:val="24"/>
                <w:szCs w:val="24"/>
              </w:rPr>
              <w:t>§1</w:t>
            </w:r>
            <w:r w:rsidRPr="00F500F6">
              <w:rPr>
                <w:rFonts w:asciiTheme="minorHAnsi" w:hAnsiTheme="minorHAnsi" w:cstheme="minorHAnsi"/>
                <w:sz w:val="24"/>
                <w:szCs w:val="24"/>
              </w:rPr>
              <w:t>. Cette convention entre en vigueur le 01.01.2021 et est conclue pour une durée déterminée qui s’achèvera le 30.06.2021, sans reconduction tacite possible. Les parties signataires conviennent que, en application de l’article 23 de la loi du 5 décembre 1968, les dispositions normatives individuelles de la présente convention collective de travail ne seront pas incorporées dans les contrats de travail individuels des travailleurs.</w:t>
            </w:r>
          </w:p>
          <w:p w14:paraId="28664F81" w14:textId="77777777" w:rsidR="004D42CB" w:rsidRDefault="004D42CB" w:rsidP="00AF4495">
            <w:pPr>
              <w:pStyle w:val="TableParagraph"/>
              <w:ind w:right="-35"/>
              <w:rPr>
                <w:rFonts w:asciiTheme="minorHAnsi" w:hAnsiTheme="minorHAnsi" w:cstheme="minorHAnsi"/>
                <w:sz w:val="24"/>
                <w:szCs w:val="24"/>
              </w:rPr>
            </w:pPr>
          </w:p>
          <w:p w14:paraId="68E04107" w14:textId="77777777" w:rsidR="0093550A" w:rsidRPr="00F500F6" w:rsidRDefault="0093550A" w:rsidP="009111FF">
            <w:pPr>
              <w:pStyle w:val="TableParagraph"/>
              <w:ind w:left="0" w:right="-35"/>
              <w:rPr>
                <w:rFonts w:asciiTheme="minorHAnsi" w:hAnsiTheme="minorHAnsi" w:cstheme="minorHAnsi"/>
                <w:sz w:val="24"/>
                <w:szCs w:val="24"/>
              </w:rPr>
            </w:pPr>
            <w:r w:rsidRPr="009111FF">
              <w:rPr>
                <w:rFonts w:asciiTheme="minorHAnsi" w:hAnsiTheme="minorHAnsi" w:cstheme="minorHAnsi"/>
                <w:b/>
                <w:sz w:val="24"/>
                <w:szCs w:val="24"/>
              </w:rPr>
              <w:t>§2</w:t>
            </w:r>
            <w:r w:rsidRPr="00F500F6">
              <w:rPr>
                <w:rFonts w:asciiTheme="minorHAnsi" w:hAnsiTheme="minorHAnsi" w:cstheme="minorHAnsi"/>
                <w:sz w:val="24"/>
                <w:szCs w:val="24"/>
              </w:rPr>
              <w:t xml:space="preserve">. Elle peut être dénoncée ou revue par la partie signataire la plus diligente, moyennant un préavis de 3 mois adressé au président de la Commission paritaire des établissements et services de santé. </w:t>
            </w:r>
          </w:p>
          <w:p w14:paraId="05CFA3E9" w14:textId="7C6F3E9C" w:rsidR="004D42CB" w:rsidRDefault="004D42CB" w:rsidP="00AF4495">
            <w:pPr>
              <w:pStyle w:val="TableParagraph"/>
              <w:ind w:left="0" w:right="-35"/>
              <w:rPr>
                <w:rFonts w:asciiTheme="minorHAnsi" w:hAnsiTheme="minorHAnsi" w:cstheme="minorHAnsi"/>
                <w:sz w:val="24"/>
                <w:szCs w:val="24"/>
              </w:rPr>
            </w:pPr>
          </w:p>
          <w:p w14:paraId="09CFE1F0" w14:textId="77777777" w:rsidR="0093550A" w:rsidRPr="00437777" w:rsidRDefault="0093550A" w:rsidP="009111FF">
            <w:pPr>
              <w:pStyle w:val="TableParagraph"/>
              <w:ind w:left="0" w:right="-35"/>
              <w:rPr>
                <w:rFonts w:asciiTheme="minorHAnsi" w:hAnsiTheme="minorHAnsi" w:cstheme="minorHAnsi"/>
                <w:b/>
                <w:sz w:val="24"/>
                <w:szCs w:val="24"/>
              </w:rPr>
            </w:pPr>
            <w:r w:rsidRPr="00437777">
              <w:rPr>
                <w:rFonts w:asciiTheme="minorHAnsi" w:hAnsiTheme="minorHAnsi" w:cstheme="minorHAnsi"/>
                <w:b/>
                <w:sz w:val="24"/>
                <w:szCs w:val="24"/>
              </w:rPr>
              <w:t>Article 8</w:t>
            </w:r>
          </w:p>
          <w:p w14:paraId="071B61D3" w14:textId="77777777" w:rsidR="0093550A" w:rsidRPr="00F500F6" w:rsidRDefault="0093550A" w:rsidP="009111FF">
            <w:pPr>
              <w:pStyle w:val="TableParagraph"/>
              <w:ind w:left="0" w:right="-35"/>
              <w:rPr>
                <w:rFonts w:asciiTheme="minorHAnsi" w:hAnsiTheme="minorHAnsi" w:cstheme="minorHAnsi"/>
                <w:sz w:val="24"/>
                <w:szCs w:val="24"/>
              </w:rPr>
            </w:pPr>
            <w:r w:rsidRPr="00F500F6">
              <w:rPr>
                <w:rFonts w:asciiTheme="minorHAnsi" w:hAnsiTheme="minorHAnsi" w:cstheme="minorHAnsi"/>
                <w:sz w:val="24"/>
                <w:szCs w:val="24"/>
              </w:rPr>
              <w:t xml:space="preserve">Conformément à l’article 14 de la loi du 5 décembre 1968 sur les conventions collectives de travail et les commissions paritaires, en ce qui concerne la signature de cette convention collective, les signatures des personnes qui la concluent au nom des organisations de travailleurs d’une part et au </w:t>
            </w:r>
            <w:r w:rsidRPr="00F500F6">
              <w:rPr>
                <w:rFonts w:asciiTheme="minorHAnsi" w:hAnsiTheme="minorHAnsi" w:cstheme="minorHAnsi"/>
                <w:sz w:val="24"/>
                <w:szCs w:val="24"/>
              </w:rPr>
              <w:lastRenderedPageBreak/>
              <w:t xml:space="preserve">nom des organisations d’employeurs d’autre part, sont remplacées par le procès-verbal </w:t>
            </w:r>
            <w:proofErr w:type="gramStart"/>
            <w:r w:rsidRPr="00F500F6">
              <w:rPr>
                <w:rFonts w:asciiTheme="minorHAnsi" w:hAnsiTheme="minorHAnsi" w:cstheme="minorHAnsi"/>
                <w:sz w:val="24"/>
                <w:szCs w:val="24"/>
              </w:rPr>
              <w:t>de la réunion approuvé</w:t>
            </w:r>
            <w:proofErr w:type="gramEnd"/>
            <w:r w:rsidRPr="00F500F6">
              <w:rPr>
                <w:rFonts w:asciiTheme="minorHAnsi" w:hAnsiTheme="minorHAnsi" w:cstheme="minorHAnsi"/>
                <w:sz w:val="24"/>
                <w:szCs w:val="24"/>
              </w:rPr>
              <w:t xml:space="preserve"> par les membres et signé par le président et le secrétaire.</w:t>
            </w:r>
          </w:p>
          <w:p w14:paraId="40848084" w14:textId="77777777" w:rsidR="0093550A" w:rsidRPr="00F500F6" w:rsidRDefault="0093550A" w:rsidP="00AF4495">
            <w:pPr>
              <w:pStyle w:val="TableParagraph"/>
              <w:ind w:right="-35"/>
              <w:rPr>
                <w:rFonts w:asciiTheme="minorHAnsi" w:hAnsiTheme="minorHAnsi" w:cstheme="minorHAnsi"/>
                <w:sz w:val="24"/>
                <w:szCs w:val="24"/>
              </w:rPr>
            </w:pPr>
          </w:p>
          <w:bookmarkEnd w:id="2"/>
          <w:p w14:paraId="36432FE1" w14:textId="77777777" w:rsidR="0093550A" w:rsidRPr="00F500F6" w:rsidRDefault="0093550A" w:rsidP="00AF4495">
            <w:pPr>
              <w:pStyle w:val="TableParagraph"/>
              <w:ind w:left="0" w:right="-35"/>
              <w:rPr>
                <w:rFonts w:asciiTheme="minorHAnsi" w:hAnsiTheme="minorHAnsi" w:cstheme="minorHAnsi"/>
                <w:sz w:val="24"/>
                <w:szCs w:val="24"/>
              </w:rPr>
            </w:pPr>
          </w:p>
          <w:p w14:paraId="59BB91EA" w14:textId="77777777" w:rsidR="009111FF" w:rsidRDefault="009111FF" w:rsidP="00AF4495">
            <w:pPr>
              <w:pStyle w:val="TableParagraph"/>
              <w:ind w:left="0" w:right="-35"/>
              <w:rPr>
                <w:rFonts w:asciiTheme="minorHAnsi" w:hAnsiTheme="minorHAnsi" w:cstheme="minorHAnsi"/>
                <w:b/>
                <w:sz w:val="24"/>
                <w:szCs w:val="24"/>
              </w:rPr>
            </w:pPr>
          </w:p>
          <w:p w14:paraId="74B9BBCC" w14:textId="77777777" w:rsidR="0093550A" w:rsidRPr="00AE4872" w:rsidRDefault="0093550A" w:rsidP="008514CB">
            <w:pPr>
              <w:pStyle w:val="TableParagraph"/>
              <w:ind w:left="0" w:right="-35"/>
              <w:rPr>
                <w:rFonts w:cstheme="minorHAnsi"/>
                <w:sz w:val="24"/>
                <w:szCs w:val="24"/>
              </w:rPr>
            </w:pPr>
          </w:p>
        </w:tc>
        <w:tc>
          <w:tcPr>
            <w:tcW w:w="5387" w:type="dxa"/>
          </w:tcPr>
          <w:p w14:paraId="1466745A" w14:textId="77777777" w:rsidR="0093550A" w:rsidRPr="00F500F6" w:rsidRDefault="0093550A" w:rsidP="0093550A">
            <w:pPr>
              <w:jc w:val="center"/>
              <w:rPr>
                <w:rFonts w:cstheme="minorHAnsi"/>
                <w:b/>
                <w:bCs/>
                <w:color w:val="000000" w:themeColor="text1"/>
                <w:sz w:val="24"/>
                <w:szCs w:val="24"/>
              </w:rPr>
            </w:pPr>
            <w:r w:rsidRPr="00F500F6">
              <w:rPr>
                <w:rFonts w:cstheme="minorHAnsi"/>
                <w:b/>
                <w:bCs/>
                <w:color w:val="000000" w:themeColor="text1"/>
                <w:sz w:val="24"/>
                <w:szCs w:val="24"/>
              </w:rPr>
              <w:lastRenderedPageBreak/>
              <w:t>Paritair Comité voor de gezondheidsinrichtingen</w:t>
            </w:r>
          </w:p>
          <w:p w14:paraId="398A6242" w14:textId="001EF338" w:rsidR="0093550A" w:rsidRDefault="0093550A" w:rsidP="0093550A">
            <w:pPr>
              <w:jc w:val="center"/>
              <w:rPr>
                <w:rFonts w:cstheme="minorHAnsi"/>
                <w:b/>
                <w:bCs/>
                <w:color w:val="000000" w:themeColor="text1"/>
                <w:sz w:val="24"/>
                <w:szCs w:val="24"/>
              </w:rPr>
            </w:pPr>
            <w:proofErr w:type="gramStart"/>
            <w:r w:rsidRPr="00F500F6">
              <w:rPr>
                <w:rFonts w:cstheme="minorHAnsi"/>
                <w:b/>
                <w:bCs/>
                <w:color w:val="000000" w:themeColor="text1"/>
                <w:sz w:val="24"/>
                <w:szCs w:val="24"/>
              </w:rPr>
              <w:t>en</w:t>
            </w:r>
            <w:proofErr w:type="gramEnd"/>
            <w:r w:rsidRPr="00F500F6">
              <w:rPr>
                <w:rFonts w:cstheme="minorHAnsi"/>
                <w:b/>
                <w:bCs/>
                <w:color w:val="000000" w:themeColor="text1"/>
                <w:sz w:val="24"/>
                <w:szCs w:val="24"/>
              </w:rPr>
              <w:t xml:space="preserve"> </w:t>
            </w:r>
            <w:r w:rsidR="008514CB">
              <w:rPr>
                <w:rFonts w:cstheme="minorHAnsi"/>
                <w:b/>
                <w:bCs/>
                <w:color w:val="000000" w:themeColor="text1"/>
                <w:sz w:val="24"/>
                <w:szCs w:val="24"/>
              </w:rPr>
              <w:t>–</w:t>
            </w:r>
            <w:r w:rsidRPr="00F500F6">
              <w:rPr>
                <w:rFonts w:cstheme="minorHAnsi"/>
                <w:b/>
                <w:bCs/>
                <w:color w:val="000000" w:themeColor="text1"/>
                <w:sz w:val="24"/>
                <w:szCs w:val="24"/>
              </w:rPr>
              <w:t>diensten</w:t>
            </w:r>
          </w:p>
          <w:p w14:paraId="63584100" w14:textId="77777777" w:rsidR="008514CB" w:rsidRPr="00F500F6" w:rsidRDefault="008514CB" w:rsidP="0093550A">
            <w:pPr>
              <w:jc w:val="center"/>
              <w:rPr>
                <w:rFonts w:cstheme="minorHAnsi"/>
                <w:b/>
                <w:bCs/>
                <w:color w:val="000000" w:themeColor="text1"/>
                <w:sz w:val="24"/>
                <w:szCs w:val="24"/>
              </w:rPr>
            </w:pPr>
          </w:p>
          <w:p w14:paraId="481EE2DD" w14:textId="173D6499" w:rsidR="0093550A" w:rsidRPr="00F500F6" w:rsidRDefault="0093550A" w:rsidP="0093550A">
            <w:pPr>
              <w:ind w:firstLine="22"/>
              <w:jc w:val="center"/>
              <w:rPr>
                <w:rFonts w:cstheme="minorHAnsi"/>
                <w:b/>
                <w:color w:val="000000" w:themeColor="text1"/>
                <w:sz w:val="24"/>
                <w:szCs w:val="24"/>
              </w:rPr>
            </w:pPr>
            <w:r w:rsidRPr="00F500F6">
              <w:rPr>
                <w:rFonts w:cstheme="minorHAnsi"/>
                <w:b/>
                <w:color w:val="000000" w:themeColor="text1"/>
                <w:sz w:val="24"/>
                <w:szCs w:val="24"/>
              </w:rPr>
              <w:t xml:space="preserve">Collectieve arbeidsovereenkomst van </w:t>
            </w:r>
            <w:r w:rsidR="00506E88">
              <w:rPr>
                <w:rFonts w:cstheme="minorHAnsi"/>
                <w:b/>
                <w:color w:val="000000" w:themeColor="text1"/>
                <w:sz w:val="24"/>
                <w:szCs w:val="24"/>
              </w:rPr>
              <w:t>08</w:t>
            </w:r>
            <w:r w:rsidRPr="00F500F6">
              <w:rPr>
                <w:rFonts w:cstheme="minorHAnsi"/>
                <w:b/>
                <w:color w:val="000000" w:themeColor="text1"/>
                <w:sz w:val="24"/>
                <w:szCs w:val="24"/>
              </w:rPr>
              <w:t>/</w:t>
            </w:r>
            <w:r w:rsidR="00506E88">
              <w:rPr>
                <w:rFonts w:cstheme="minorHAnsi"/>
                <w:b/>
                <w:color w:val="000000" w:themeColor="text1"/>
                <w:sz w:val="24"/>
                <w:szCs w:val="24"/>
              </w:rPr>
              <w:t>02</w:t>
            </w:r>
            <w:r w:rsidRPr="00F500F6">
              <w:rPr>
                <w:rFonts w:cstheme="minorHAnsi"/>
                <w:b/>
                <w:color w:val="000000" w:themeColor="text1"/>
                <w:sz w:val="24"/>
                <w:szCs w:val="24"/>
              </w:rPr>
              <w:t>/2021 betreffende de toekenning van de éénmalige aanmoedigingspremie ten voordele van de loontrekkenden in de wijkgezondheidscentra/maisons médicales</w:t>
            </w:r>
          </w:p>
          <w:p w14:paraId="63F22694" w14:textId="77777777" w:rsidR="0093550A" w:rsidRPr="00F500F6" w:rsidRDefault="0093550A">
            <w:pPr>
              <w:rPr>
                <w:rFonts w:cstheme="minorHAnsi"/>
                <w:color w:val="000000" w:themeColor="text1"/>
                <w:sz w:val="24"/>
                <w:szCs w:val="24"/>
              </w:rPr>
            </w:pPr>
          </w:p>
          <w:p w14:paraId="5CD21D94" w14:textId="77777777" w:rsidR="0093550A" w:rsidRPr="00F500F6" w:rsidRDefault="0093550A">
            <w:pPr>
              <w:rPr>
                <w:rFonts w:cstheme="minorHAnsi"/>
                <w:color w:val="000000" w:themeColor="text1"/>
                <w:sz w:val="24"/>
                <w:szCs w:val="24"/>
                <w:u w:val="single"/>
              </w:rPr>
            </w:pPr>
            <w:r w:rsidRPr="00F500F6">
              <w:rPr>
                <w:rFonts w:cstheme="minorHAnsi"/>
                <w:color w:val="000000" w:themeColor="text1"/>
                <w:sz w:val="24"/>
                <w:szCs w:val="24"/>
                <w:u w:val="single"/>
              </w:rPr>
              <w:t>HOOFDSTUK 1: TOEPASSINGSGEBIED</w:t>
            </w:r>
          </w:p>
          <w:p w14:paraId="03C5A690" w14:textId="77777777" w:rsidR="0093550A" w:rsidRPr="00F500F6" w:rsidRDefault="0093550A">
            <w:pPr>
              <w:rPr>
                <w:rFonts w:cstheme="minorHAnsi"/>
                <w:color w:val="000000" w:themeColor="text1"/>
                <w:sz w:val="24"/>
                <w:szCs w:val="24"/>
              </w:rPr>
            </w:pPr>
          </w:p>
          <w:p w14:paraId="50939616" w14:textId="77777777" w:rsidR="0093550A" w:rsidRPr="00F500F6" w:rsidRDefault="0093550A">
            <w:pPr>
              <w:rPr>
                <w:rFonts w:cstheme="minorHAnsi"/>
                <w:b/>
                <w:color w:val="000000" w:themeColor="text1"/>
                <w:sz w:val="24"/>
                <w:szCs w:val="24"/>
              </w:rPr>
            </w:pPr>
            <w:r w:rsidRPr="00F500F6">
              <w:rPr>
                <w:rFonts w:cstheme="minorHAnsi"/>
                <w:b/>
                <w:color w:val="000000" w:themeColor="text1"/>
                <w:sz w:val="24"/>
                <w:szCs w:val="24"/>
              </w:rPr>
              <w:t>Artikel 1</w:t>
            </w:r>
          </w:p>
          <w:p w14:paraId="30C4395C" w14:textId="6983DF5E" w:rsidR="0093550A" w:rsidRPr="00F500F6" w:rsidRDefault="0093550A" w:rsidP="0093550A">
            <w:pPr>
              <w:rPr>
                <w:rFonts w:cstheme="minorHAnsi"/>
                <w:color w:val="000000" w:themeColor="text1"/>
                <w:sz w:val="24"/>
                <w:szCs w:val="24"/>
              </w:rPr>
            </w:pPr>
            <w:r w:rsidRPr="00AF4495">
              <w:rPr>
                <w:rFonts w:cstheme="minorHAnsi"/>
                <w:b/>
                <w:color w:val="000000" w:themeColor="text1"/>
                <w:sz w:val="24"/>
                <w:szCs w:val="24"/>
              </w:rPr>
              <w:t>§1</w:t>
            </w:r>
            <w:r w:rsidR="009111FF">
              <w:rPr>
                <w:rFonts w:cstheme="minorHAnsi"/>
                <w:b/>
                <w:color w:val="000000" w:themeColor="text1"/>
                <w:sz w:val="24"/>
                <w:szCs w:val="24"/>
              </w:rPr>
              <w:t>.</w:t>
            </w:r>
            <w:r w:rsidRPr="00F500F6">
              <w:rPr>
                <w:rFonts w:cstheme="minorHAnsi"/>
                <w:color w:val="000000" w:themeColor="text1"/>
                <w:sz w:val="24"/>
                <w:szCs w:val="24"/>
              </w:rPr>
              <w:t xml:space="preserve"> Deze collectieve arbeidsovereenkomst is van toepassing op de werkgevers en de werknemers van de maisons médicales/wijkgezondheidscentra </w:t>
            </w:r>
            <w:r w:rsidR="00857C27">
              <w:rPr>
                <w:rFonts w:cstheme="minorHAnsi"/>
                <w:color w:val="000000" w:themeColor="text1"/>
                <w:sz w:val="24"/>
                <w:szCs w:val="24"/>
              </w:rPr>
              <w:t>die vallen onder het Paritair Comité 330</w:t>
            </w:r>
            <w:r w:rsidR="006D2E82">
              <w:rPr>
                <w:rFonts w:cstheme="minorHAnsi"/>
                <w:color w:val="000000" w:themeColor="text1"/>
                <w:sz w:val="24"/>
                <w:szCs w:val="24"/>
              </w:rPr>
              <w:t>.</w:t>
            </w:r>
          </w:p>
          <w:p w14:paraId="0E2106D3" w14:textId="61F68B59" w:rsidR="001F6BE9" w:rsidRDefault="009111FF" w:rsidP="0093550A">
            <w:pPr>
              <w:rPr>
                <w:rFonts w:cstheme="minorHAnsi"/>
                <w:color w:val="000000" w:themeColor="text1"/>
                <w:sz w:val="24"/>
                <w:szCs w:val="24"/>
              </w:rPr>
            </w:pPr>
            <w:r>
              <w:rPr>
                <w:rFonts w:eastAsia="Calibri" w:cstheme="minorHAnsi"/>
                <w:b/>
                <w:color w:val="000000" w:themeColor="text1"/>
                <w:sz w:val="24"/>
                <w:szCs w:val="24"/>
              </w:rPr>
              <w:t>§ 2.</w:t>
            </w:r>
            <w:r w:rsidR="0093550A" w:rsidRPr="00F500F6">
              <w:rPr>
                <w:rFonts w:eastAsia="Calibri" w:cstheme="minorHAnsi"/>
                <w:color w:val="000000" w:themeColor="text1"/>
                <w:sz w:val="24"/>
                <w:szCs w:val="24"/>
              </w:rPr>
              <w:t xml:space="preserve"> Bij de toepassing van deze CAO, wordt o</w:t>
            </w:r>
            <w:r w:rsidR="0093550A" w:rsidRPr="00F500F6">
              <w:rPr>
                <w:rFonts w:cstheme="minorHAnsi"/>
                <w:color w:val="000000" w:themeColor="text1"/>
                <w:sz w:val="24"/>
                <w:szCs w:val="24"/>
              </w:rPr>
              <w:t>nder werknemers het loontrekkend mannelijk en vrouwelijk werklieden</w:t>
            </w:r>
            <w:r w:rsidR="00CA483F">
              <w:rPr>
                <w:rFonts w:cstheme="minorHAnsi"/>
                <w:color w:val="000000" w:themeColor="text1"/>
                <w:sz w:val="24"/>
                <w:szCs w:val="24"/>
              </w:rPr>
              <w:t>-</w:t>
            </w:r>
            <w:r w:rsidR="0093550A" w:rsidRPr="00F500F6">
              <w:rPr>
                <w:rFonts w:cstheme="minorHAnsi"/>
                <w:color w:val="000000" w:themeColor="text1"/>
                <w:sz w:val="24"/>
                <w:szCs w:val="24"/>
              </w:rPr>
              <w:t xml:space="preserve"> en bediendepersoneel verstaan, met uitzondering van de</w:t>
            </w:r>
            <w:r w:rsidR="00CA483F">
              <w:rPr>
                <w:rFonts w:cstheme="minorHAnsi"/>
                <w:color w:val="000000" w:themeColor="text1"/>
                <w:sz w:val="24"/>
                <w:szCs w:val="24"/>
              </w:rPr>
              <w:t xml:space="preserve"> loontrekkende</w:t>
            </w:r>
            <w:r w:rsidR="0093550A" w:rsidRPr="00F500F6">
              <w:rPr>
                <w:rFonts w:cstheme="minorHAnsi"/>
                <w:color w:val="000000" w:themeColor="text1"/>
                <w:sz w:val="24"/>
                <w:szCs w:val="24"/>
              </w:rPr>
              <w:t xml:space="preserve"> huisartsen en de werknemers die erkend zijn door de regio’s (</w:t>
            </w:r>
            <w:proofErr w:type="gramStart"/>
            <w:r w:rsidR="0093550A" w:rsidRPr="00F500F6">
              <w:rPr>
                <w:rFonts w:cstheme="minorHAnsi"/>
                <w:color w:val="000000" w:themeColor="text1"/>
                <w:sz w:val="24"/>
                <w:szCs w:val="24"/>
              </w:rPr>
              <w:t>AVIQ /</w:t>
            </w:r>
            <w:proofErr w:type="gramEnd"/>
            <w:r w:rsidR="0093550A" w:rsidRPr="00F500F6">
              <w:rPr>
                <w:rFonts w:cstheme="minorHAnsi"/>
                <w:color w:val="000000" w:themeColor="text1"/>
                <w:sz w:val="24"/>
                <w:szCs w:val="24"/>
              </w:rPr>
              <w:t xml:space="preserve"> COCOF)</w:t>
            </w:r>
            <w:r w:rsidR="006D2E82">
              <w:rPr>
                <w:rFonts w:cstheme="minorHAnsi"/>
                <w:color w:val="000000" w:themeColor="text1"/>
                <w:sz w:val="24"/>
                <w:szCs w:val="24"/>
              </w:rPr>
              <w:t>.</w:t>
            </w:r>
          </w:p>
          <w:p w14:paraId="5C8D9B37" w14:textId="7873373F" w:rsidR="003F3F63" w:rsidRPr="003F3F63" w:rsidRDefault="001F6BE9" w:rsidP="003F3F63">
            <w:pPr>
              <w:rPr>
                <w:rFonts w:cstheme="minorHAnsi"/>
                <w:color w:val="000000" w:themeColor="text1"/>
                <w:sz w:val="24"/>
                <w:szCs w:val="24"/>
              </w:rPr>
            </w:pPr>
            <w:r w:rsidRPr="001F6BE9">
              <w:rPr>
                <w:rFonts w:cstheme="minorHAnsi"/>
                <w:b/>
                <w:color w:val="000000" w:themeColor="text1"/>
                <w:sz w:val="24"/>
                <w:szCs w:val="24"/>
              </w:rPr>
              <w:t>§ 3.</w:t>
            </w:r>
            <w:r>
              <w:rPr>
                <w:rFonts w:cstheme="minorHAnsi"/>
                <w:b/>
                <w:color w:val="000000" w:themeColor="text1"/>
                <w:sz w:val="24"/>
                <w:szCs w:val="24"/>
              </w:rPr>
              <w:t xml:space="preserve"> </w:t>
            </w:r>
            <w:r w:rsidR="003F3F63">
              <w:rPr>
                <w:rFonts w:cstheme="minorHAnsi"/>
                <w:b/>
                <w:color w:val="000000" w:themeColor="text1"/>
                <w:sz w:val="24"/>
                <w:szCs w:val="24"/>
              </w:rPr>
              <w:t xml:space="preserve"> </w:t>
            </w:r>
            <w:r w:rsidR="00406108">
              <w:rPr>
                <w:rFonts w:cstheme="minorHAnsi"/>
                <w:color w:val="000000" w:themeColor="text1"/>
                <w:sz w:val="24"/>
                <w:szCs w:val="24"/>
              </w:rPr>
              <w:t xml:space="preserve">Voor de toepassing van deze </w:t>
            </w:r>
            <w:proofErr w:type="gramStart"/>
            <w:r w:rsidR="00406108">
              <w:rPr>
                <w:rFonts w:cstheme="minorHAnsi"/>
                <w:color w:val="000000" w:themeColor="text1"/>
                <w:sz w:val="24"/>
                <w:szCs w:val="24"/>
              </w:rPr>
              <w:t>CAO</w:t>
            </w:r>
            <w:proofErr w:type="gramEnd"/>
            <w:r w:rsidR="00406108">
              <w:rPr>
                <w:rFonts w:cstheme="minorHAnsi"/>
                <w:color w:val="000000" w:themeColor="text1"/>
                <w:sz w:val="24"/>
                <w:szCs w:val="24"/>
              </w:rPr>
              <w:t xml:space="preserve">, dient men onder maisons médicales/wijkgezondheidscentra te verstaan alle instellingen zoals gedefinieerd in artikel 11 van de </w:t>
            </w:r>
            <w:r w:rsidR="003F3F63">
              <w:rPr>
                <w:rFonts w:cstheme="minorHAnsi"/>
                <w:color w:val="000000" w:themeColor="text1"/>
                <w:sz w:val="24"/>
                <w:szCs w:val="24"/>
              </w:rPr>
              <w:t xml:space="preserve">CAO van 8 oktober 2007 </w:t>
            </w:r>
            <w:r w:rsidR="00406108">
              <w:rPr>
                <w:rFonts w:cstheme="minorHAnsi"/>
                <w:color w:val="000000" w:themeColor="text1"/>
                <w:sz w:val="24"/>
                <w:szCs w:val="24"/>
              </w:rPr>
              <w:t xml:space="preserve">(85.878/CO.330) </w:t>
            </w:r>
            <w:r w:rsidR="003F3F63">
              <w:rPr>
                <w:rFonts w:cstheme="minorHAnsi"/>
                <w:b/>
                <w:color w:val="000000" w:themeColor="text1"/>
                <w:sz w:val="24"/>
                <w:szCs w:val="24"/>
              </w:rPr>
              <w:t>“</w:t>
            </w:r>
            <w:r w:rsidR="003F3F63" w:rsidRPr="003F3F63">
              <w:rPr>
                <w:rFonts w:cstheme="minorHAnsi"/>
                <w:color w:val="000000" w:themeColor="text1"/>
                <w:sz w:val="24"/>
                <w:szCs w:val="24"/>
              </w:rPr>
              <w:t>Maatregelen met het oog op de bevordering van de</w:t>
            </w:r>
            <w:r w:rsidR="003F3F63">
              <w:rPr>
                <w:rFonts w:cstheme="minorHAnsi"/>
                <w:color w:val="000000" w:themeColor="text1"/>
                <w:sz w:val="24"/>
                <w:szCs w:val="24"/>
              </w:rPr>
              <w:t xml:space="preserve"> </w:t>
            </w:r>
            <w:r w:rsidR="003F3F63" w:rsidRPr="003F3F63">
              <w:rPr>
                <w:rFonts w:cstheme="minorHAnsi"/>
                <w:color w:val="000000" w:themeColor="text1"/>
                <w:sz w:val="24"/>
                <w:szCs w:val="24"/>
              </w:rPr>
              <w:t>tewerkstelling in de initiatieven voor beschut</w:t>
            </w:r>
          </w:p>
          <w:p w14:paraId="3F88864A" w14:textId="77777777" w:rsidR="003F3F63" w:rsidRPr="003F3F63" w:rsidRDefault="003F3F63" w:rsidP="003F3F63">
            <w:pPr>
              <w:rPr>
                <w:rFonts w:cstheme="minorHAnsi"/>
                <w:color w:val="000000" w:themeColor="text1"/>
                <w:sz w:val="24"/>
                <w:szCs w:val="24"/>
              </w:rPr>
            </w:pPr>
            <w:proofErr w:type="gramStart"/>
            <w:r w:rsidRPr="003F3F63">
              <w:rPr>
                <w:rFonts w:cstheme="minorHAnsi"/>
                <w:color w:val="000000" w:themeColor="text1"/>
                <w:sz w:val="24"/>
                <w:szCs w:val="24"/>
              </w:rPr>
              <w:t>wonen</w:t>
            </w:r>
            <w:proofErr w:type="gramEnd"/>
            <w:r w:rsidRPr="003F3F63">
              <w:rPr>
                <w:rFonts w:cstheme="minorHAnsi"/>
                <w:color w:val="000000" w:themeColor="text1"/>
                <w:sz w:val="24"/>
                <w:szCs w:val="24"/>
              </w:rPr>
              <w:t>, de wijkgezondheidscentra en de diensten</w:t>
            </w:r>
          </w:p>
          <w:p w14:paraId="012F099D" w14:textId="791D0557" w:rsidR="001F6BE9" w:rsidRPr="003F3F63" w:rsidRDefault="003F3F63" w:rsidP="003F3F63">
            <w:pPr>
              <w:rPr>
                <w:rFonts w:cstheme="minorHAnsi"/>
                <w:color w:val="000000" w:themeColor="text1"/>
                <w:sz w:val="24"/>
                <w:szCs w:val="24"/>
              </w:rPr>
            </w:pPr>
            <w:proofErr w:type="gramStart"/>
            <w:r w:rsidRPr="003F3F63">
              <w:rPr>
                <w:rFonts w:cstheme="minorHAnsi"/>
                <w:color w:val="000000" w:themeColor="text1"/>
                <w:sz w:val="24"/>
                <w:szCs w:val="24"/>
              </w:rPr>
              <w:t>voor</w:t>
            </w:r>
            <w:proofErr w:type="gramEnd"/>
            <w:r w:rsidRPr="003F3F63">
              <w:rPr>
                <w:rFonts w:cstheme="minorHAnsi"/>
                <w:color w:val="000000" w:themeColor="text1"/>
                <w:sz w:val="24"/>
                <w:szCs w:val="24"/>
              </w:rPr>
              <w:t xml:space="preserve"> het bloed van het Rode Kruis van België</w:t>
            </w:r>
            <w:r w:rsidR="00A444DF">
              <w:rPr>
                <w:rFonts w:cstheme="minorHAnsi"/>
                <w:color w:val="000000" w:themeColor="text1"/>
                <w:sz w:val="24"/>
                <w:szCs w:val="24"/>
              </w:rPr>
              <w:t>”</w:t>
            </w:r>
            <w:r w:rsidR="00406108">
              <w:rPr>
                <w:rFonts w:cstheme="minorHAnsi"/>
                <w:color w:val="000000" w:themeColor="text1"/>
                <w:sz w:val="24"/>
                <w:szCs w:val="24"/>
              </w:rPr>
              <w:t>, gewijzigd door de CAO van 8 januari 2018 (</w:t>
            </w:r>
            <w:r w:rsidR="00406108" w:rsidRPr="00892DB2">
              <w:rPr>
                <w:rFonts w:eastAsia="Calibri" w:cstheme="minorHAnsi"/>
                <w:sz w:val="24"/>
                <w:szCs w:val="24"/>
              </w:rPr>
              <w:t>(145009/CO/330),</w:t>
            </w:r>
            <w:r w:rsidR="00A444DF">
              <w:rPr>
                <w:rFonts w:eastAsia="Calibri" w:cstheme="minorHAnsi"/>
                <w:sz w:val="24"/>
                <w:szCs w:val="24"/>
              </w:rPr>
              <w:t xml:space="preserve"> meer bepaald de instellingen die:</w:t>
            </w:r>
          </w:p>
          <w:p w14:paraId="68F21FDA" w14:textId="2BBCD539" w:rsidR="001F6BE9" w:rsidRDefault="001F6BE9" w:rsidP="0093550A">
            <w:pPr>
              <w:rPr>
                <w:rFonts w:cstheme="minorHAnsi"/>
                <w:b/>
                <w:color w:val="000000" w:themeColor="text1"/>
                <w:sz w:val="24"/>
                <w:szCs w:val="24"/>
              </w:rPr>
            </w:pPr>
          </w:p>
          <w:p w14:paraId="1A8B2681" w14:textId="75D33AD9" w:rsidR="00892DB2" w:rsidRPr="001F6BE9" w:rsidRDefault="001F6BE9" w:rsidP="006D2E82">
            <w:pPr>
              <w:numPr>
                <w:ilvl w:val="0"/>
                <w:numId w:val="1"/>
              </w:numPr>
              <w:ind w:left="30" w:firstLine="0"/>
              <w:rPr>
                <w:rFonts w:cstheme="minorHAnsi"/>
                <w:i/>
                <w:iCs/>
                <w:color w:val="000000" w:themeColor="text1"/>
                <w:sz w:val="24"/>
                <w:szCs w:val="24"/>
                <w:lang w:bidi="fr-BE"/>
              </w:rPr>
            </w:pPr>
            <w:proofErr w:type="gramStart"/>
            <w:r w:rsidRPr="00AE4872">
              <w:rPr>
                <w:rFonts w:cstheme="minorHAnsi"/>
                <w:color w:val="000000" w:themeColor="text1"/>
                <w:sz w:val="24"/>
                <w:szCs w:val="24"/>
                <w:lang w:bidi="fr-BE"/>
              </w:rPr>
              <w:t>opgericht</w:t>
            </w:r>
            <w:proofErr w:type="gramEnd"/>
            <w:r w:rsidRPr="00AE4872">
              <w:rPr>
                <w:rFonts w:cstheme="minorHAnsi"/>
                <w:color w:val="000000" w:themeColor="text1"/>
                <w:sz w:val="24"/>
                <w:szCs w:val="24"/>
                <w:lang w:bidi="fr-BE"/>
              </w:rPr>
              <w:t xml:space="preserve"> zijn onder de vorm van een </w:t>
            </w:r>
            <w:proofErr w:type="spellStart"/>
            <w:r w:rsidRPr="00AE4872">
              <w:rPr>
                <w:rFonts w:cstheme="minorHAnsi"/>
                <w:color w:val="000000" w:themeColor="text1"/>
                <w:sz w:val="24"/>
                <w:szCs w:val="24"/>
                <w:lang w:bidi="fr-BE"/>
              </w:rPr>
              <w:t>v.z.w</w:t>
            </w:r>
            <w:proofErr w:type="spellEnd"/>
            <w:r w:rsidRPr="00AE4872">
              <w:rPr>
                <w:rFonts w:cstheme="minorHAnsi"/>
                <w:color w:val="000000" w:themeColor="text1"/>
                <w:sz w:val="24"/>
                <w:szCs w:val="24"/>
                <w:lang w:bidi="fr-BE"/>
              </w:rPr>
              <w:t>.;</w:t>
            </w:r>
          </w:p>
          <w:p w14:paraId="470F4E36" w14:textId="77777777" w:rsidR="001F6BE9" w:rsidRDefault="001F6BE9" w:rsidP="006D2E82">
            <w:pPr>
              <w:numPr>
                <w:ilvl w:val="0"/>
                <w:numId w:val="1"/>
              </w:numPr>
              <w:ind w:left="30" w:firstLine="0"/>
              <w:rPr>
                <w:rFonts w:cstheme="minorHAnsi"/>
                <w:color w:val="000000" w:themeColor="text1"/>
                <w:sz w:val="24"/>
                <w:szCs w:val="24"/>
                <w:lang w:bidi="fr-BE"/>
              </w:rPr>
            </w:pPr>
            <w:proofErr w:type="gramStart"/>
            <w:r w:rsidRPr="001F6BE9">
              <w:rPr>
                <w:rFonts w:cstheme="minorHAnsi"/>
                <w:color w:val="000000" w:themeColor="text1"/>
                <w:sz w:val="24"/>
                <w:szCs w:val="24"/>
                <w:lang w:bidi="fr-BE"/>
              </w:rPr>
              <w:t>een</w:t>
            </w:r>
            <w:proofErr w:type="gramEnd"/>
            <w:r w:rsidRPr="001F6BE9">
              <w:rPr>
                <w:rFonts w:cstheme="minorHAnsi"/>
                <w:color w:val="000000" w:themeColor="text1"/>
                <w:sz w:val="24"/>
                <w:szCs w:val="24"/>
                <w:lang w:bidi="fr-BE"/>
              </w:rPr>
              <w:t xml:space="preserve"> medisch multidisciplinair zorgaanbod op de eerste lijn bieden waar meerdere disciplines, gegroepeerd zijn onder een</w:t>
            </w:r>
            <w:r>
              <w:rPr>
                <w:rFonts w:cstheme="minorHAnsi"/>
                <w:color w:val="000000" w:themeColor="text1"/>
                <w:sz w:val="24"/>
                <w:szCs w:val="24"/>
                <w:lang w:bidi="fr-BE"/>
              </w:rPr>
              <w:t xml:space="preserve"> </w:t>
            </w:r>
            <w:r w:rsidRPr="001F6BE9">
              <w:rPr>
                <w:rFonts w:cstheme="minorHAnsi"/>
                <w:color w:val="000000" w:themeColor="text1"/>
                <w:sz w:val="24"/>
                <w:szCs w:val="24"/>
                <w:lang w:bidi="fr-BE"/>
              </w:rPr>
              <w:t xml:space="preserve">dak; </w:t>
            </w:r>
          </w:p>
          <w:p w14:paraId="34EE83D6" w14:textId="45E749DA" w:rsidR="001F6BE9" w:rsidRPr="006D2E82" w:rsidRDefault="001F6BE9" w:rsidP="002F58DE">
            <w:pPr>
              <w:numPr>
                <w:ilvl w:val="0"/>
                <w:numId w:val="1"/>
              </w:numPr>
              <w:ind w:left="30" w:firstLine="0"/>
              <w:rPr>
                <w:rFonts w:cstheme="minorHAnsi"/>
                <w:color w:val="000000" w:themeColor="text1"/>
                <w:sz w:val="24"/>
                <w:szCs w:val="24"/>
                <w:lang w:bidi="fr-BE"/>
              </w:rPr>
            </w:pPr>
            <w:proofErr w:type="gramStart"/>
            <w:r w:rsidRPr="006D2E82">
              <w:rPr>
                <w:rFonts w:cstheme="minorHAnsi"/>
                <w:color w:val="000000" w:themeColor="text1"/>
                <w:sz w:val="24"/>
                <w:szCs w:val="24"/>
                <w:lang w:bidi="fr-BE"/>
              </w:rPr>
              <w:t>een</w:t>
            </w:r>
            <w:proofErr w:type="gramEnd"/>
            <w:r w:rsidRPr="006D2E82">
              <w:rPr>
                <w:rFonts w:cstheme="minorHAnsi"/>
                <w:color w:val="000000" w:themeColor="text1"/>
                <w:sz w:val="24"/>
                <w:szCs w:val="24"/>
                <w:lang w:bidi="fr-BE"/>
              </w:rPr>
              <w:t xml:space="preserve"> akkoord van forfait toepassen zoals bedoeld in artikel 52. § 1 van de wet betreffende de verplichte verzekering voor geneeskundige</w:t>
            </w:r>
            <w:r w:rsidR="001274CC" w:rsidRPr="006D2E82">
              <w:rPr>
                <w:rFonts w:cstheme="minorHAnsi"/>
                <w:color w:val="000000" w:themeColor="text1"/>
                <w:sz w:val="24"/>
                <w:szCs w:val="24"/>
                <w:lang w:bidi="fr-BE"/>
              </w:rPr>
              <w:t xml:space="preserve"> verzorging en uitkeringen gecoö</w:t>
            </w:r>
            <w:r w:rsidRPr="006D2E82">
              <w:rPr>
                <w:rFonts w:cstheme="minorHAnsi"/>
                <w:color w:val="000000" w:themeColor="text1"/>
                <w:sz w:val="24"/>
                <w:szCs w:val="24"/>
                <w:lang w:bidi="fr-BE"/>
              </w:rPr>
              <w:t>rdineerd op 14 juli 1994 of die erkend zijn of een gewestelijke of</w:t>
            </w:r>
            <w:r w:rsidR="006D2E82" w:rsidRPr="006D2E82">
              <w:rPr>
                <w:rFonts w:cstheme="minorHAnsi"/>
                <w:color w:val="000000" w:themeColor="text1"/>
                <w:sz w:val="24"/>
                <w:szCs w:val="24"/>
                <w:lang w:bidi="fr-BE"/>
              </w:rPr>
              <w:t xml:space="preserve"> </w:t>
            </w:r>
            <w:r w:rsidRPr="006D2E82">
              <w:rPr>
                <w:rFonts w:cstheme="minorHAnsi"/>
                <w:color w:val="000000" w:themeColor="text1"/>
                <w:sz w:val="24"/>
                <w:szCs w:val="24"/>
                <w:lang w:bidi="fr-BE"/>
              </w:rPr>
              <w:t>regionale subsidiëring ontvangen als "Geïntegreerd Gezondheidscentrum" of</w:t>
            </w:r>
            <w:r w:rsidR="006D2E82" w:rsidRPr="006D2E82">
              <w:rPr>
                <w:rFonts w:cstheme="minorHAnsi"/>
                <w:color w:val="000000" w:themeColor="text1"/>
                <w:sz w:val="24"/>
                <w:szCs w:val="24"/>
                <w:lang w:bidi="fr-BE"/>
              </w:rPr>
              <w:t xml:space="preserve"> </w:t>
            </w:r>
            <w:r w:rsidRPr="006D2E82">
              <w:rPr>
                <w:rFonts w:cstheme="minorHAnsi"/>
                <w:color w:val="000000" w:themeColor="text1"/>
                <w:sz w:val="24"/>
                <w:szCs w:val="24"/>
                <w:lang w:val="fr-BE" w:bidi="fr-BE"/>
              </w:rPr>
              <w:t>"Centre de Santé intégré"</w:t>
            </w:r>
            <w:r w:rsidRPr="006D2E82">
              <w:rPr>
                <w:rFonts w:ascii="Arial" w:hAnsi="Arial" w:cs="Arial"/>
                <w:sz w:val="18"/>
                <w:szCs w:val="18"/>
                <w:lang w:val="fr-BE"/>
              </w:rPr>
              <w:t xml:space="preserve"> </w:t>
            </w:r>
            <w:r w:rsidRPr="006D2E82">
              <w:rPr>
                <w:rFonts w:cstheme="minorHAnsi"/>
                <w:color w:val="000000" w:themeColor="text1"/>
                <w:sz w:val="24"/>
                <w:szCs w:val="24"/>
                <w:lang w:val="fr-BE" w:bidi="fr-BE"/>
              </w:rPr>
              <w:lastRenderedPageBreak/>
              <w:t xml:space="preserve">of, </w:t>
            </w:r>
            <w:proofErr w:type="spellStart"/>
            <w:r w:rsidRPr="006D2E82">
              <w:rPr>
                <w:rFonts w:cstheme="minorHAnsi"/>
                <w:color w:val="000000" w:themeColor="text1"/>
                <w:sz w:val="24"/>
                <w:szCs w:val="24"/>
                <w:lang w:val="fr-BE" w:bidi="fr-BE"/>
              </w:rPr>
              <w:t>voor</w:t>
            </w:r>
            <w:proofErr w:type="spellEnd"/>
            <w:r w:rsidRPr="006D2E82">
              <w:rPr>
                <w:rFonts w:cstheme="minorHAnsi"/>
                <w:color w:val="000000" w:themeColor="text1"/>
                <w:sz w:val="24"/>
                <w:szCs w:val="24"/>
                <w:lang w:val="fr-BE" w:bidi="fr-BE"/>
              </w:rPr>
              <w:t xml:space="preserve"> de </w:t>
            </w:r>
            <w:proofErr w:type="spellStart"/>
            <w:r w:rsidRPr="006D2E82">
              <w:rPr>
                <w:rFonts w:cstheme="minorHAnsi"/>
                <w:color w:val="000000" w:themeColor="text1"/>
                <w:sz w:val="24"/>
                <w:szCs w:val="24"/>
                <w:lang w:val="fr-BE" w:bidi="fr-BE"/>
              </w:rPr>
              <w:t>Franstalige</w:t>
            </w:r>
            <w:proofErr w:type="spellEnd"/>
            <w:r w:rsidR="006D2E82" w:rsidRPr="006D2E82">
              <w:rPr>
                <w:rFonts w:cstheme="minorHAnsi"/>
                <w:color w:val="000000" w:themeColor="text1"/>
                <w:sz w:val="24"/>
                <w:szCs w:val="24"/>
                <w:lang w:val="fr-BE" w:bidi="fr-BE"/>
              </w:rPr>
              <w:t xml:space="preserve"> </w:t>
            </w:r>
            <w:r w:rsidRPr="006D2E82">
              <w:rPr>
                <w:rFonts w:cstheme="minorHAnsi"/>
                <w:color w:val="000000" w:themeColor="text1"/>
                <w:sz w:val="24"/>
                <w:szCs w:val="24"/>
                <w:lang w:bidi="fr-BE"/>
              </w:rPr>
              <w:t>wijkgezondheidscentra die gelegen zijn in het</w:t>
            </w:r>
            <w:r w:rsidR="006D2E82" w:rsidRPr="006D2E82">
              <w:rPr>
                <w:rFonts w:cstheme="minorHAnsi"/>
                <w:color w:val="000000" w:themeColor="text1"/>
                <w:sz w:val="24"/>
                <w:szCs w:val="24"/>
                <w:lang w:bidi="fr-BE"/>
              </w:rPr>
              <w:t xml:space="preserve"> </w:t>
            </w:r>
            <w:r w:rsidRPr="006D2E82">
              <w:rPr>
                <w:rFonts w:cstheme="minorHAnsi"/>
                <w:color w:val="000000" w:themeColor="text1"/>
                <w:sz w:val="24"/>
                <w:szCs w:val="24"/>
                <w:lang w:bidi="fr-BE"/>
              </w:rPr>
              <w:t>Brussels Hoofdstedelijk Gewest, in bezit van een</w:t>
            </w:r>
            <w:r w:rsidR="006D2E82" w:rsidRPr="006D2E82">
              <w:rPr>
                <w:rFonts w:cstheme="minorHAnsi"/>
                <w:color w:val="000000" w:themeColor="text1"/>
                <w:sz w:val="24"/>
                <w:szCs w:val="24"/>
                <w:lang w:bidi="fr-BE"/>
              </w:rPr>
              <w:t xml:space="preserve"> </w:t>
            </w:r>
            <w:r w:rsidRPr="006D2E82">
              <w:rPr>
                <w:rFonts w:cstheme="minorHAnsi"/>
                <w:color w:val="000000" w:themeColor="text1"/>
                <w:sz w:val="24"/>
                <w:szCs w:val="24"/>
                <w:lang w:bidi="fr-BE"/>
              </w:rPr>
              <w:t>officiële brief van de inspectiedienst van de</w:t>
            </w:r>
            <w:r w:rsidR="006D2E82" w:rsidRPr="006D2E82">
              <w:rPr>
                <w:rFonts w:cstheme="minorHAnsi"/>
                <w:color w:val="000000" w:themeColor="text1"/>
                <w:sz w:val="24"/>
                <w:szCs w:val="24"/>
                <w:lang w:bidi="fr-BE"/>
              </w:rPr>
              <w:t xml:space="preserve"> </w:t>
            </w:r>
            <w:r w:rsidRPr="006D2E82">
              <w:rPr>
                <w:rFonts w:cstheme="minorHAnsi"/>
                <w:color w:val="000000" w:themeColor="text1"/>
                <w:sz w:val="24"/>
                <w:szCs w:val="24"/>
                <w:lang w:bidi="fr-BE"/>
              </w:rPr>
              <w:t>administratie van de Franse</w:t>
            </w:r>
            <w:r w:rsidR="006D2E82" w:rsidRPr="006D2E82">
              <w:rPr>
                <w:rFonts w:cstheme="minorHAnsi"/>
                <w:color w:val="000000" w:themeColor="text1"/>
                <w:sz w:val="24"/>
                <w:szCs w:val="24"/>
                <w:lang w:bidi="fr-BE"/>
              </w:rPr>
              <w:t xml:space="preserve"> </w:t>
            </w:r>
            <w:r w:rsidRPr="006D2E82">
              <w:rPr>
                <w:rFonts w:cstheme="minorHAnsi"/>
                <w:color w:val="000000" w:themeColor="text1"/>
                <w:sz w:val="24"/>
                <w:szCs w:val="24"/>
                <w:lang w:bidi="fr-BE"/>
              </w:rPr>
              <w:t>Gemeenschapscommissie die aantoont dat de</w:t>
            </w:r>
            <w:r w:rsidR="006D2E82">
              <w:rPr>
                <w:rFonts w:cstheme="minorHAnsi"/>
                <w:color w:val="000000" w:themeColor="text1"/>
                <w:sz w:val="24"/>
                <w:szCs w:val="24"/>
                <w:lang w:bidi="fr-BE"/>
              </w:rPr>
              <w:t xml:space="preserve"> </w:t>
            </w:r>
            <w:r w:rsidRPr="006D2E82">
              <w:rPr>
                <w:rFonts w:cstheme="minorHAnsi"/>
                <w:color w:val="000000" w:themeColor="text1"/>
                <w:sz w:val="24"/>
                <w:szCs w:val="24"/>
                <w:lang w:bidi="fr-BE"/>
              </w:rPr>
              <w:t>aanvraag tot erkenning ontvankelijk is</w:t>
            </w:r>
            <w:r w:rsidR="006D2E82">
              <w:rPr>
                <w:rFonts w:cstheme="minorHAnsi"/>
                <w:color w:val="000000" w:themeColor="text1"/>
                <w:sz w:val="24"/>
                <w:szCs w:val="24"/>
                <w:lang w:bidi="fr-BE"/>
              </w:rPr>
              <w:t>.</w:t>
            </w:r>
          </w:p>
          <w:p w14:paraId="7091CDC5" w14:textId="77777777" w:rsidR="001F6BE9" w:rsidRDefault="001F6BE9" w:rsidP="001F6BE9">
            <w:pPr>
              <w:rPr>
                <w:rFonts w:cstheme="minorHAnsi"/>
                <w:color w:val="000000" w:themeColor="text1"/>
                <w:sz w:val="24"/>
                <w:szCs w:val="24"/>
                <w:lang w:bidi="fr-BE"/>
              </w:rPr>
            </w:pPr>
          </w:p>
          <w:p w14:paraId="2A35C9BE" w14:textId="1E885E2E" w:rsidR="0093550A" w:rsidRPr="001F6BE9" w:rsidRDefault="0093550A" w:rsidP="001F6BE9">
            <w:pPr>
              <w:rPr>
                <w:rFonts w:cstheme="minorHAnsi"/>
                <w:color w:val="000000" w:themeColor="text1"/>
                <w:sz w:val="24"/>
                <w:szCs w:val="24"/>
                <w:lang w:bidi="fr-BE"/>
              </w:rPr>
            </w:pPr>
            <w:r w:rsidRPr="001F6BE9">
              <w:rPr>
                <w:rFonts w:cstheme="minorHAnsi"/>
                <w:color w:val="000000" w:themeColor="text1"/>
                <w:sz w:val="24"/>
                <w:szCs w:val="24"/>
                <w:u w:val="single"/>
              </w:rPr>
              <w:t>HOO</w:t>
            </w:r>
            <w:r w:rsidR="00F500F6" w:rsidRPr="001F6BE9">
              <w:rPr>
                <w:rFonts w:cstheme="minorHAnsi"/>
                <w:color w:val="000000" w:themeColor="text1"/>
                <w:sz w:val="24"/>
                <w:szCs w:val="24"/>
                <w:u w:val="single"/>
              </w:rPr>
              <w:t xml:space="preserve">FDSTUK 2: ONDERWERP, </w:t>
            </w:r>
            <w:r w:rsidR="00F500F6" w:rsidRPr="001F6BE9">
              <w:rPr>
                <w:rFonts w:cstheme="minorHAnsi"/>
                <w:sz w:val="24"/>
                <w:szCs w:val="24"/>
                <w:u w:val="single"/>
              </w:rPr>
              <w:t>TOEPASBAARHEID E</w:t>
            </w:r>
            <w:r w:rsidR="00F500F6" w:rsidRPr="001F6BE9">
              <w:rPr>
                <w:rFonts w:cstheme="minorHAnsi"/>
                <w:color w:val="000000" w:themeColor="text1"/>
                <w:sz w:val="24"/>
                <w:szCs w:val="24"/>
                <w:u w:val="single"/>
              </w:rPr>
              <w:t>N TOEKENNINGSCRITERIA</w:t>
            </w:r>
          </w:p>
          <w:p w14:paraId="6C894068" w14:textId="77777777" w:rsidR="00F500F6" w:rsidRPr="00F500F6" w:rsidRDefault="00F500F6" w:rsidP="00F500F6">
            <w:pPr>
              <w:rPr>
                <w:rFonts w:cstheme="minorHAnsi"/>
                <w:color w:val="000000" w:themeColor="text1"/>
                <w:sz w:val="24"/>
                <w:szCs w:val="24"/>
                <w:u w:val="single"/>
              </w:rPr>
            </w:pPr>
          </w:p>
          <w:p w14:paraId="6878D36F" w14:textId="77777777" w:rsidR="00F500F6" w:rsidRPr="00AE4872" w:rsidRDefault="00F500F6" w:rsidP="00F500F6">
            <w:pPr>
              <w:rPr>
                <w:rFonts w:cstheme="minorHAnsi"/>
                <w:b/>
                <w:color w:val="000000" w:themeColor="text1"/>
                <w:sz w:val="24"/>
                <w:szCs w:val="24"/>
              </w:rPr>
            </w:pPr>
            <w:r w:rsidRPr="00AE4872">
              <w:rPr>
                <w:rFonts w:cstheme="minorHAnsi"/>
                <w:b/>
                <w:color w:val="000000" w:themeColor="text1"/>
                <w:sz w:val="24"/>
                <w:szCs w:val="24"/>
              </w:rPr>
              <w:t xml:space="preserve">Artikel 2 </w:t>
            </w:r>
          </w:p>
          <w:p w14:paraId="7E543AB0" w14:textId="77777777" w:rsidR="00F500F6" w:rsidRPr="00F500F6" w:rsidRDefault="00F500F6" w:rsidP="00F500F6">
            <w:pPr>
              <w:rPr>
                <w:rFonts w:cstheme="minorHAnsi"/>
                <w:color w:val="000000" w:themeColor="text1"/>
                <w:sz w:val="24"/>
                <w:szCs w:val="24"/>
              </w:rPr>
            </w:pPr>
            <w:r w:rsidRPr="00F500F6">
              <w:rPr>
                <w:rFonts w:cstheme="minorHAnsi"/>
                <w:color w:val="000000" w:themeColor="text1"/>
                <w:sz w:val="24"/>
                <w:szCs w:val="24"/>
              </w:rPr>
              <w:t xml:space="preserve">Deze collectieve arbeidsovereenkomst heeft als </w:t>
            </w:r>
            <w:r w:rsidRPr="00506E88">
              <w:rPr>
                <w:rFonts w:cstheme="minorHAnsi"/>
                <w:color w:val="000000" w:themeColor="text1"/>
                <w:sz w:val="24"/>
                <w:szCs w:val="24"/>
              </w:rPr>
              <w:t>onderwerp de uitzonderlijke en éénmalige toekenning van een aanmoedigingspremie voor de loontrekkenden in de wijkgezondheidscentra</w:t>
            </w:r>
            <w:r w:rsidRPr="00F500F6">
              <w:rPr>
                <w:rFonts w:cstheme="minorHAnsi"/>
                <w:color w:val="000000" w:themeColor="text1"/>
                <w:sz w:val="24"/>
                <w:szCs w:val="24"/>
              </w:rPr>
              <w:t>.</w:t>
            </w:r>
          </w:p>
          <w:p w14:paraId="005C6B53" w14:textId="77777777" w:rsidR="00F500F6" w:rsidRPr="00F500F6" w:rsidRDefault="00F500F6">
            <w:pPr>
              <w:rPr>
                <w:rFonts w:cstheme="minorHAnsi"/>
                <w:color w:val="000000" w:themeColor="text1"/>
                <w:sz w:val="24"/>
                <w:szCs w:val="24"/>
                <w:u w:val="single"/>
              </w:rPr>
            </w:pPr>
          </w:p>
          <w:p w14:paraId="748E0C84" w14:textId="77777777" w:rsidR="00F500F6" w:rsidRPr="00AE4872" w:rsidRDefault="00F500F6" w:rsidP="00F500F6">
            <w:pPr>
              <w:pStyle w:val="TableParagraph"/>
              <w:ind w:left="0" w:right="-35"/>
              <w:jc w:val="both"/>
              <w:rPr>
                <w:rFonts w:asciiTheme="minorHAnsi" w:hAnsiTheme="minorHAnsi" w:cstheme="minorHAnsi"/>
                <w:b/>
                <w:color w:val="000000" w:themeColor="text1"/>
                <w:sz w:val="24"/>
                <w:szCs w:val="24"/>
                <w:lang w:val="nl-BE"/>
              </w:rPr>
            </w:pPr>
            <w:r w:rsidRPr="00AE4872">
              <w:rPr>
                <w:rFonts w:asciiTheme="minorHAnsi" w:hAnsiTheme="minorHAnsi" w:cstheme="minorHAnsi"/>
                <w:b/>
                <w:color w:val="000000" w:themeColor="text1"/>
                <w:sz w:val="24"/>
                <w:szCs w:val="24"/>
                <w:lang w:val="nl-BE"/>
              </w:rPr>
              <w:t>Artikel 3</w:t>
            </w:r>
          </w:p>
          <w:p w14:paraId="08831B18" w14:textId="77777777" w:rsidR="00F500F6" w:rsidRDefault="00F500F6" w:rsidP="00F500F6">
            <w:pPr>
              <w:rPr>
                <w:rFonts w:cstheme="minorHAnsi"/>
                <w:color w:val="000000" w:themeColor="text1"/>
                <w:sz w:val="24"/>
                <w:szCs w:val="24"/>
              </w:rPr>
            </w:pPr>
            <w:r w:rsidRPr="00F500F6">
              <w:rPr>
                <w:rFonts w:cstheme="minorHAnsi"/>
                <w:color w:val="000000" w:themeColor="text1"/>
                <w:sz w:val="24"/>
                <w:szCs w:val="24"/>
              </w:rPr>
              <w:t>De modaliteiten voor de toekenning van deze éénmalige aanmoedigingspremie en voor de financiering ervan aan de werkgevers worden vastgelegd in deze collectieve arbeidsovereenkomst.</w:t>
            </w:r>
          </w:p>
          <w:p w14:paraId="00B91794" w14:textId="77777777" w:rsidR="00CA483F" w:rsidRDefault="00CA483F" w:rsidP="00F500F6">
            <w:pPr>
              <w:rPr>
                <w:rFonts w:cstheme="minorHAnsi"/>
                <w:color w:val="000000" w:themeColor="text1"/>
                <w:sz w:val="24"/>
                <w:szCs w:val="24"/>
              </w:rPr>
            </w:pPr>
          </w:p>
          <w:p w14:paraId="7B3552AD" w14:textId="77777777" w:rsidR="00F500F6" w:rsidRPr="00AE4872" w:rsidRDefault="00F500F6" w:rsidP="00F500F6">
            <w:pPr>
              <w:pStyle w:val="TableParagraph"/>
              <w:ind w:left="0" w:right="-35"/>
              <w:jc w:val="both"/>
              <w:rPr>
                <w:rFonts w:asciiTheme="minorHAnsi" w:hAnsiTheme="minorHAnsi" w:cstheme="minorHAnsi"/>
                <w:b/>
                <w:sz w:val="24"/>
                <w:szCs w:val="24"/>
                <w:lang w:val="nl-BE"/>
              </w:rPr>
            </w:pPr>
            <w:r w:rsidRPr="00AE4872">
              <w:rPr>
                <w:rFonts w:asciiTheme="minorHAnsi" w:hAnsiTheme="minorHAnsi" w:cstheme="minorHAnsi"/>
                <w:b/>
                <w:sz w:val="24"/>
                <w:szCs w:val="24"/>
                <w:lang w:val="nl-BE"/>
              </w:rPr>
              <w:t xml:space="preserve">Artikel 4 </w:t>
            </w:r>
          </w:p>
          <w:p w14:paraId="47B1B2DB" w14:textId="04201664" w:rsidR="00F500F6" w:rsidRPr="00AE4872" w:rsidRDefault="00F500F6" w:rsidP="00F500F6">
            <w:pPr>
              <w:pStyle w:val="TableParagraph"/>
              <w:ind w:left="0" w:right="-35"/>
              <w:jc w:val="both"/>
              <w:rPr>
                <w:rFonts w:asciiTheme="minorHAnsi" w:hAnsiTheme="minorHAnsi" w:cstheme="minorHAnsi"/>
                <w:sz w:val="24"/>
                <w:szCs w:val="24"/>
                <w:lang w:val="nl-BE"/>
              </w:rPr>
            </w:pPr>
            <w:r w:rsidRPr="00AE4872">
              <w:rPr>
                <w:rFonts w:asciiTheme="minorHAnsi" w:hAnsiTheme="minorHAnsi" w:cstheme="minorHAnsi"/>
                <w:sz w:val="24"/>
                <w:szCs w:val="24"/>
                <w:lang w:val="nl-BE"/>
              </w:rPr>
              <w:t xml:space="preserve">De modaliteiten voor toekenning van de eenmalige aanmoedigingspremie </w:t>
            </w:r>
            <w:proofErr w:type="gramStart"/>
            <w:r w:rsidRPr="00AE4872">
              <w:rPr>
                <w:rFonts w:asciiTheme="minorHAnsi" w:hAnsiTheme="minorHAnsi" w:cstheme="minorHAnsi"/>
                <w:sz w:val="24"/>
                <w:szCs w:val="24"/>
                <w:lang w:val="nl-BE"/>
              </w:rPr>
              <w:t>zijn :</w:t>
            </w:r>
            <w:proofErr w:type="gramEnd"/>
          </w:p>
          <w:p w14:paraId="5E07BBBD" w14:textId="77777777" w:rsidR="00614B0D" w:rsidRPr="00AE4872" w:rsidRDefault="00614B0D" w:rsidP="00F500F6">
            <w:pPr>
              <w:pStyle w:val="TableParagraph"/>
              <w:ind w:left="0" w:right="-35"/>
              <w:jc w:val="both"/>
              <w:rPr>
                <w:rFonts w:asciiTheme="minorHAnsi" w:hAnsiTheme="minorHAnsi" w:cstheme="minorHAnsi"/>
                <w:b/>
                <w:sz w:val="24"/>
                <w:szCs w:val="24"/>
                <w:lang w:val="nl-BE"/>
              </w:rPr>
            </w:pPr>
          </w:p>
          <w:p w14:paraId="072746B7" w14:textId="17D864A3" w:rsidR="00F500F6" w:rsidRPr="00AE4872" w:rsidRDefault="00F500F6" w:rsidP="00EA5B50">
            <w:pPr>
              <w:pStyle w:val="Paragraphedeliste"/>
              <w:numPr>
                <w:ilvl w:val="0"/>
                <w:numId w:val="3"/>
              </w:numPr>
              <w:spacing w:after="160"/>
              <w:ind w:left="30" w:firstLine="0"/>
              <w:rPr>
                <w:rFonts w:asciiTheme="minorHAnsi" w:hAnsiTheme="minorHAnsi" w:cstheme="minorHAnsi"/>
                <w:color w:val="auto"/>
                <w:sz w:val="24"/>
                <w:szCs w:val="24"/>
                <w:lang w:val="nl-BE"/>
              </w:rPr>
            </w:pPr>
            <w:r w:rsidRPr="00AE4872">
              <w:rPr>
                <w:rFonts w:asciiTheme="minorHAnsi" w:hAnsiTheme="minorHAnsi" w:cstheme="minorHAnsi"/>
                <w:color w:val="auto"/>
                <w:sz w:val="24"/>
                <w:szCs w:val="24"/>
                <w:lang w:val="nl-BE"/>
              </w:rPr>
              <w:t xml:space="preserve">De premie wordt toegekend aan alle loontrekkenden (inclusief jobstudenten) </w:t>
            </w:r>
            <w:r w:rsidR="00EA5B50" w:rsidRPr="00AE4872">
              <w:rPr>
                <w:rFonts w:asciiTheme="minorHAnsi" w:hAnsiTheme="minorHAnsi" w:cstheme="minorHAnsi"/>
                <w:color w:val="auto"/>
                <w:sz w:val="24"/>
                <w:szCs w:val="24"/>
                <w:lang w:val="nl-BE"/>
              </w:rPr>
              <w:t>t</w:t>
            </w:r>
            <w:r w:rsidRPr="00AE4872">
              <w:rPr>
                <w:rFonts w:asciiTheme="minorHAnsi" w:hAnsiTheme="minorHAnsi" w:cstheme="minorHAnsi"/>
                <w:color w:val="auto"/>
                <w:sz w:val="24"/>
                <w:szCs w:val="24"/>
                <w:lang w:val="nl-BE"/>
              </w:rPr>
              <w:t xml:space="preserve">ewerkgesteld binnen de sector van wijkgezondheidscentra die ressorteren onder het </w:t>
            </w:r>
            <w:proofErr w:type="gramStart"/>
            <w:r w:rsidRPr="00AE4872">
              <w:rPr>
                <w:rFonts w:asciiTheme="minorHAnsi" w:hAnsiTheme="minorHAnsi" w:cstheme="minorHAnsi"/>
                <w:color w:val="auto"/>
                <w:sz w:val="24"/>
                <w:szCs w:val="24"/>
                <w:lang w:val="nl-BE"/>
              </w:rPr>
              <w:t>PC</w:t>
            </w:r>
            <w:proofErr w:type="gramEnd"/>
            <w:r w:rsidRPr="00AE4872">
              <w:rPr>
                <w:rFonts w:asciiTheme="minorHAnsi" w:hAnsiTheme="minorHAnsi" w:cstheme="minorHAnsi"/>
                <w:color w:val="auto"/>
                <w:sz w:val="24"/>
                <w:szCs w:val="24"/>
                <w:lang w:val="nl-BE"/>
              </w:rPr>
              <w:t xml:space="preserve"> 330, evenals het interim-personeel, tewerkgesteld binnen deze sector;</w:t>
            </w:r>
          </w:p>
          <w:p w14:paraId="68BFEF3E" w14:textId="77777777" w:rsidR="008514CB" w:rsidRDefault="00F500F6" w:rsidP="00AC2FEB">
            <w:pPr>
              <w:pStyle w:val="Paragraphedeliste"/>
              <w:numPr>
                <w:ilvl w:val="0"/>
                <w:numId w:val="3"/>
              </w:numPr>
              <w:spacing w:after="160"/>
              <w:ind w:left="30" w:firstLine="0"/>
              <w:rPr>
                <w:rFonts w:asciiTheme="minorHAnsi" w:hAnsiTheme="minorHAnsi" w:cstheme="minorHAnsi"/>
                <w:color w:val="auto"/>
                <w:sz w:val="24"/>
                <w:szCs w:val="24"/>
                <w:lang w:val="nl-BE"/>
              </w:rPr>
            </w:pPr>
            <w:r w:rsidRPr="008514CB">
              <w:rPr>
                <w:rFonts w:asciiTheme="minorHAnsi" w:hAnsiTheme="minorHAnsi" w:cstheme="minorHAnsi"/>
                <w:color w:val="auto"/>
                <w:sz w:val="24"/>
                <w:szCs w:val="24"/>
                <w:lang w:val="nl-BE"/>
              </w:rPr>
              <w:t>Het personeel heeft recht op een uitzonderlijke premie per werknemer (éénmaal per werknemer) van 985€ bruto voor een voltijdse tewerkstelling gedurende de referteperiode 1 september 2020 t.e.m. 30 november 2020 op basis van bezoldigde arbeidstijd en bezoldigde gelijkgestelde prestaties. De periodes tijdelijke werkloosheid Covid-19 omwille van quarantaine moeten mee in aanmerking genomen worden.</w:t>
            </w:r>
          </w:p>
          <w:p w14:paraId="62A92626" w14:textId="77777777" w:rsidR="008514CB" w:rsidRDefault="008514CB" w:rsidP="00B20B8C">
            <w:pPr>
              <w:pStyle w:val="Paragraphedeliste"/>
              <w:numPr>
                <w:ilvl w:val="0"/>
                <w:numId w:val="3"/>
              </w:numPr>
              <w:spacing w:after="160"/>
              <w:ind w:left="30" w:firstLine="0"/>
              <w:rPr>
                <w:rFonts w:asciiTheme="minorHAnsi" w:hAnsiTheme="minorHAnsi" w:cstheme="minorHAnsi"/>
                <w:color w:val="auto"/>
                <w:sz w:val="24"/>
                <w:szCs w:val="24"/>
                <w:lang w:val="nl-BE"/>
              </w:rPr>
            </w:pPr>
            <w:r w:rsidRPr="008514CB">
              <w:rPr>
                <w:rFonts w:asciiTheme="minorHAnsi" w:hAnsiTheme="minorHAnsi" w:cstheme="minorHAnsi"/>
                <w:color w:val="auto"/>
                <w:sz w:val="24"/>
                <w:szCs w:val="24"/>
                <w:lang w:val="nl-BE"/>
              </w:rPr>
              <w:t>D</w:t>
            </w:r>
            <w:r w:rsidR="006D2E82" w:rsidRPr="008514CB">
              <w:rPr>
                <w:rFonts w:asciiTheme="minorHAnsi" w:hAnsiTheme="minorHAnsi" w:cstheme="minorHAnsi"/>
                <w:color w:val="auto"/>
                <w:sz w:val="24"/>
                <w:szCs w:val="24"/>
                <w:lang w:val="nl-BE"/>
              </w:rPr>
              <w:t>e premie wordt pro rata tewerkstellingstijd en pro rata tewerkstellingsperiode binnen deze referteperiode berekend;</w:t>
            </w:r>
          </w:p>
          <w:p w14:paraId="7D5DA963" w14:textId="3441FD8F" w:rsidR="006D2E82" w:rsidRPr="008514CB" w:rsidRDefault="008514CB" w:rsidP="00B20B8C">
            <w:pPr>
              <w:pStyle w:val="Paragraphedeliste"/>
              <w:numPr>
                <w:ilvl w:val="0"/>
                <w:numId w:val="3"/>
              </w:numPr>
              <w:spacing w:after="160"/>
              <w:ind w:left="30" w:firstLine="0"/>
              <w:rPr>
                <w:rFonts w:asciiTheme="minorHAnsi" w:hAnsiTheme="minorHAnsi" w:cstheme="minorHAnsi"/>
                <w:color w:val="auto"/>
                <w:sz w:val="24"/>
                <w:szCs w:val="24"/>
                <w:lang w:val="nl-BE"/>
              </w:rPr>
            </w:pPr>
            <w:r w:rsidRPr="008514CB">
              <w:rPr>
                <w:rFonts w:asciiTheme="minorHAnsi" w:hAnsiTheme="minorHAnsi" w:cstheme="minorHAnsi"/>
                <w:color w:val="auto"/>
                <w:sz w:val="24"/>
                <w:szCs w:val="24"/>
                <w:lang w:val="nl-BE"/>
              </w:rPr>
              <w:lastRenderedPageBreak/>
              <w:t>De betaalde gepresteerde overuren en bijkomende uren worden mee in rekening gebracht zonder de arbeidstijd van een voltijdse werknemer te overschrijden;</w:t>
            </w:r>
          </w:p>
          <w:p w14:paraId="594E2ED9" w14:textId="20020AAD" w:rsidR="00F500F6" w:rsidRPr="008514CB" w:rsidRDefault="00F500F6" w:rsidP="009505B0">
            <w:pPr>
              <w:pStyle w:val="Paragraphedeliste"/>
              <w:numPr>
                <w:ilvl w:val="0"/>
                <w:numId w:val="3"/>
              </w:numPr>
              <w:spacing w:after="160"/>
              <w:ind w:left="30" w:firstLine="0"/>
              <w:rPr>
                <w:rFonts w:asciiTheme="minorHAnsi" w:hAnsiTheme="minorHAnsi" w:cstheme="minorHAnsi"/>
                <w:color w:val="auto"/>
                <w:sz w:val="24"/>
                <w:szCs w:val="24"/>
                <w:lang w:val="nl-BE"/>
              </w:rPr>
            </w:pPr>
            <w:r w:rsidRPr="008514CB">
              <w:rPr>
                <w:rFonts w:asciiTheme="minorHAnsi" w:hAnsiTheme="minorHAnsi" w:cstheme="minorHAnsi"/>
                <w:color w:val="auto"/>
                <w:sz w:val="24"/>
                <w:szCs w:val="24"/>
                <w:lang w:val="nl-BE"/>
              </w:rPr>
              <w:t xml:space="preserve">De werknemers die tijdens de referteperiode prestaties hebben geleverd, maar reeds uit dienst zijn op datum van de toekenning van de premie, hebben ook recht op de éénmalige </w:t>
            </w:r>
            <w:r w:rsidR="008514CB" w:rsidRPr="008514CB">
              <w:rPr>
                <w:rFonts w:asciiTheme="minorHAnsi" w:hAnsiTheme="minorHAnsi" w:cstheme="minorHAnsi"/>
                <w:color w:val="auto"/>
                <w:sz w:val="24"/>
                <w:szCs w:val="24"/>
                <w:lang w:val="nl-BE"/>
              </w:rPr>
              <w:t>premie;</w:t>
            </w:r>
          </w:p>
          <w:p w14:paraId="6285B2C5" w14:textId="6B3357CF" w:rsidR="00F500F6" w:rsidRPr="00AE4872" w:rsidRDefault="00F500F6" w:rsidP="00EA5B50">
            <w:pPr>
              <w:pStyle w:val="Paragraphedeliste"/>
              <w:numPr>
                <w:ilvl w:val="0"/>
                <w:numId w:val="2"/>
              </w:numPr>
              <w:ind w:left="30" w:right="-35" w:firstLine="0"/>
              <w:rPr>
                <w:rFonts w:asciiTheme="minorHAnsi" w:hAnsiTheme="minorHAnsi" w:cstheme="minorHAnsi"/>
                <w:color w:val="auto"/>
                <w:sz w:val="24"/>
                <w:szCs w:val="24"/>
                <w:lang w:val="nl-BE"/>
              </w:rPr>
            </w:pPr>
            <w:r w:rsidRPr="00AE4872">
              <w:rPr>
                <w:rFonts w:asciiTheme="minorHAnsi" w:hAnsiTheme="minorHAnsi" w:cstheme="minorHAnsi"/>
                <w:color w:val="auto"/>
                <w:sz w:val="24"/>
                <w:szCs w:val="24"/>
                <w:lang w:val="nl-BE"/>
              </w:rPr>
              <w:t>De premie dient door de</w:t>
            </w:r>
            <w:r w:rsidR="00CA483F" w:rsidRPr="00AE4872">
              <w:rPr>
                <w:rFonts w:asciiTheme="minorHAnsi" w:hAnsiTheme="minorHAnsi" w:cstheme="minorHAnsi"/>
                <w:color w:val="auto"/>
                <w:sz w:val="24"/>
                <w:szCs w:val="24"/>
                <w:lang w:val="nl-BE"/>
              </w:rPr>
              <w:t xml:space="preserve"> werkgever betaald te worden vóó</w:t>
            </w:r>
            <w:r w:rsidRPr="00AE4872">
              <w:rPr>
                <w:rFonts w:asciiTheme="minorHAnsi" w:hAnsiTheme="minorHAnsi" w:cstheme="minorHAnsi"/>
                <w:color w:val="auto"/>
                <w:sz w:val="24"/>
                <w:szCs w:val="24"/>
                <w:lang w:val="nl-BE"/>
              </w:rPr>
              <w:t>r 31/03/2021</w:t>
            </w:r>
          </w:p>
          <w:p w14:paraId="14E73065" w14:textId="04383E01" w:rsidR="00EA5B50" w:rsidRPr="00AE4872" w:rsidRDefault="00EA5B50" w:rsidP="00F500F6">
            <w:pPr>
              <w:pStyle w:val="TableParagraph"/>
              <w:ind w:left="0" w:right="-35"/>
              <w:jc w:val="both"/>
              <w:rPr>
                <w:rFonts w:asciiTheme="minorHAnsi" w:hAnsiTheme="minorHAnsi" w:cstheme="minorHAnsi"/>
                <w:b/>
                <w:sz w:val="24"/>
                <w:szCs w:val="24"/>
                <w:lang w:val="nl-BE"/>
              </w:rPr>
            </w:pPr>
          </w:p>
          <w:p w14:paraId="248443D9" w14:textId="77777777" w:rsidR="00F500F6" w:rsidRPr="00AE4872" w:rsidRDefault="00F500F6" w:rsidP="00F500F6">
            <w:pPr>
              <w:pStyle w:val="TableParagraph"/>
              <w:ind w:left="0" w:right="-35"/>
              <w:jc w:val="both"/>
              <w:rPr>
                <w:rFonts w:asciiTheme="minorHAnsi" w:hAnsiTheme="minorHAnsi" w:cstheme="minorHAnsi"/>
                <w:b/>
                <w:sz w:val="24"/>
                <w:szCs w:val="24"/>
                <w:lang w:val="nl-BE"/>
              </w:rPr>
            </w:pPr>
            <w:r w:rsidRPr="00AE4872">
              <w:rPr>
                <w:rFonts w:asciiTheme="minorHAnsi" w:hAnsiTheme="minorHAnsi" w:cstheme="minorHAnsi"/>
                <w:b/>
                <w:sz w:val="24"/>
                <w:szCs w:val="24"/>
                <w:lang w:val="nl-BE"/>
              </w:rPr>
              <w:t>Artikel 5</w:t>
            </w:r>
          </w:p>
          <w:p w14:paraId="012B9934" w14:textId="09605BE1" w:rsidR="00F500F6" w:rsidRPr="00AE4872" w:rsidRDefault="00F500F6" w:rsidP="00F500F6">
            <w:pPr>
              <w:pStyle w:val="TableParagraph"/>
              <w:ind w:left="0" w:right="-35"/>
              <w:jc w:val="both"/>
              <w:rPr>
                <w:rFonts w:asciiTheme="minorHAnsi" w:hAnsiTheme="minorHAnsi" w:cstheme="minorHAnsi"/>
                <w:sz w:val="24"/>
                <w:szCs w:val="24"/>
                <w:lang w:val="nl-BE"/>
              </w:rPr>
            </w:pPr>
            <w:r w:rsidRPr="00AE4872">
              <w:rPr>
                <w:rFonts w:asciiTheme="minorHAnsi" w:hAnsiTheme="minorHAnsi" w:cstheme="minorHAnsi"/>
                <w:sz w:val="24"/>
                <w:szCs w:val="24"/>
                <w:lang w:val="nl-BE"/>
              </w:rPr>
              <w:t>Financieringsmodaliteiten</w:t>
            </w:r>
            <w:r w:rsidR="008514CB">
              <w:rPr>
                <w:rFonts w:asciiTheme="minorHAnsi" w:hAnsiTheme="minorHAnsi" w:cstheme="minorHAnsi"/>
                <w:sz w:val="24"/>
                <w:szCs w:val="24"/>
                <w:lang w:val="nl-BE"/>
              </w:rPr>
              <w:t>.</w:t>
            </w:r>
          </w:p>
          <w:p w14:paraId="00A10A4E" w14:textId="77777777" w:rsidR="00F500F6" w:rsidRDefault="00F500F6" w:rsidP="00F500F6">
            <w:pPr>
              <w:rPr>
                <w:rFonts w:cstheme="minorHAnsi"/>
                <w:sz w:val="24"/>
                <w:szCs w:val="24"/>
              </w:rPr>
            </w:pPr>
          </w:p>
          <w:p w14:paraId="3D14FE78" w14:textId="45B00249" w:rsidR="00F500F6" w:rsidRPr="00F500F6" w:rsidRDefault="00F500F6" w:rsidP="00F500F6">
            <w:pPr>
              <w:rPr>
                <w:rFonts w:cstheme="minorHAnsi"/>
                <w:sz w:val="24"/>
                <w:szCs w:val="24"/>
              </w:rPr>
            </w:pPr>
            <w:r w:rsidRPr="00F500F6">
              <w:rPr>
                <w:rFonts w:cstheme="minorHAnsi"/>
                <w:sz w:val="24"/>
                <w:szCs w:val="24"/>
              </w:rPr>
              <w:t>Alle partijen gaan expliciet akkoord dat de toepassing van deze collectieve arbeidsovereenkomst gelinkt is aan de volledige financiering door Kamer 5 van FSM 330. De werkgevers hebben de verplichting de voorwaarden voorzien door de bovenstaande Kamer te respecteren.</w:t>
            </w:r>
          </w:p>
          <w:p w14:paraId="460F5BEF" w14:textId="77777777" w:rsidR="00614B0D" w:rsidRPr="00AE4872" w:rsidRDefault="00614B0D" w:rsidP="00F500F6">
            <w:pPr>
              <w:pStyle w:val="TableParagraph"/>
              <w:ind w:left="0" w:right="-35"/>
              <w:jc w:val="both"/>
              <w:rPr>
                <w:rFonts w:asciiTheme="minorHAnsi" w:hAnsiTheme="minorHAnsi" w:cstheme="minorHAnsi"/>
                <w:b/>
                <w:sz w:val="24"/>
                <w:szCs w:val="24"/>
                <w:lang w:val="nl-BE"/>
              </w:rPr>
            </w:pPr>
          </w:p>
          <w:p w14:paraId="57219AA5" w14:textId="605C0A98" w:rsidR="00F500F6" w:rsidRPr="00AE4872" w:rsidRDefault="00F500F6" w:rsidP="00F500F6">
            <w:pPr>
              <w:pStyle w:val="TableParagraph"/>
              <w:ind w:left="0" w:right="-35"/>
              <w:jc w:val="both"/>
              <w:rPr>
                <w:rFonts w:asciiTheme="minorHAnsi" w:hAnsiTheme="minorHAnsi" w:cstheme="minorHAnsi"/>
                <w:b/>
                <w:sz w:val="24"/>
                <w:szCs w:val="24"/>
                <w:lang w:val="nl-BE"/>
              </w:rPr>
            </w:pPr>
            <w:r w:rsidRPr="00AE4872">
              <w:rPr>
                <w:rFonts w:asciiTheme="minorHAnsi" w:hAnsiTheme="minorHAnsi" w:cstheme="minorHAnsi"/>
                <w:b/>
                <w:sz w:val="24"/>
                <w:szCs w:val="24"/>
                <w:lang w:val="nl-BE"/>
              </w:rPr>
              <w:t>Artikel 6</w:t>
            </w:r>
          </w:p>
          <w:p w14:paraId="3F369AFD" w14:textId="77777777" w:rsidR="00F500F6" w:rsidRPr="00F500F6" w:rsidRDefault="00F500F6" w:rsidP="00F500F6">
            <w:pPr>
              <w:rPr>
                <w:rFonts w:cstheme="minorHAnsi"/>
                <w:sz w:val="24"/>
                <w:szCs w:val="24"/>
              </w:rPr>
            </w:pPr>
            <w:r w:rsidRPr="00F500F6">
              <w:rPr>
                <w:rFonts w:cstheme="minorHAnsi"/>
                <w:sz w:val="24"/>
                <w:szCs w:val="24"/>
              </w:rPr>
              <w:t>Deze aanmoedigingspremie wordt niet verleend ter vervanging of ter omzetting van loon, premies, voordelen in natura of enig ander voordeel of van een aanvulling bij het voorgaande, al dan niet bijdrage-plichtig voor de sociale zekerheid.</w:t>
            </w:r>
          </w:p>
          <w:p w14:paraId="2CE4A232" w14:textId="77777777" w:rsidR="00F500F6" w:rsidRDefault="00F500F6">
            <w:pPr>
              <w:rPr>
                <w:rFonts w:cstheme="minorHAnsi"/>
                <w:color w:val="000000" w:themeColor="text1"/>
                <w:sz w:val="24"/>
                <w:szCs w:val="24"/>
                <w:u w:val="single"/>
              </w:rPr>
            </w:pPr>
          </w:p>
          <w:p w14:paraId="5A2F1A2D" w14:textId="77777777" w:rsidR="00F500F6" w:rsidRDefault="00F500F6">
            <w:pPr>
              <w:rPr>
                <w:rFonts w:cstheme="minorHAnsi"/>
                <w:color w:val="000000" w:themeColor="text1"/>
                <w:sz w:val="24"/>
                <w:szCs w:val="24"/>
                <w:u w:val="single"/>
              </w:rPr>
            </w:pPr>
            <w:r>
              <w:rPr>
                <w:rFonts w:cstheme="minorHAnsi"/>
                <w:color w:val="000000" w:themeColor="text1"/>
                <w:sz w:val="24"/>
                <w:szCs w:val="24"/>
                <w:u w:val="single"/>
              </w:rPr>
              <w:t>HOOFDSTUK 3: SLOTBEPALINGEN</w:t>
            </w:r>
          </w:p>
          <w:p w14:paraId="5C0C0B29" w14:textId="77777777" w:rsidR="00BA1B3F" w:rsidRDefault="00BA1B3F">
            <w:pPr>
              <w:rPr>
                <w:rFonts w:cstheme="minorHAnsi"/>
                <w:color w:val="000000" w:themeColor="text1"/>
                <w:sz w:val="24"/>
                <w:szCs w:val="24"/>
                <w:u w:val="single"/>
              </w:rPr>
            </w:pPr>
          </w:p>
          <w:p w14:paraId="5515036D" w14:textId="77777777" w:rsidR="00BA1B3F" w:rsidRPr="00AE4872" w:rsidRDefault="00BA1B3F" w:rsidP="004D42CB">
            <w:pPr>
              <w:pStyle w:val="TableParagraph"/>
              <w:ind w:left="0" w:right="-35"/>
              <w:jc w:val="both"/>
              <w:rPr>
                <w:rFonts w:asciiTheme="minorHAnsi" w:hAnsiTheme="minorHAnsi" w:cstheme="minorHAnsi"/>
                <w:b/>
                <w:sz w:val="24"/>
                <w:szCs w:val="24"/>
                <w:lang w:val="nl-BE"/>
              </w:rPr>
            </w:pPr>
            <w:r w:rsidRPr="00AE4872">
              <w:rPr>
                <w:rFonts w:asciiTheme="minorHAnsi" w:hAnsiTheme="minorHAnsi" w:cstheme="minorHAnsi"/>
                <w:b/>
                <w:sz w:val="24"/>
                <w:szCs w:val="24"/>
                <w:lang w:val="nl-BE"/>
              </w:rPr>
              <w:t>Artikel 7</w:t>
            </w:r>
          </w:p>
          <w:p w14:paraId="22315D24" w14:textId="77777777" w:rsidR="00BA1B3F" w:rsidRPr="004D42CB" w:rsidRDefault="00BA1B3F" w:rsidP="00437777">
            <w:pPr>
              <w:rPr>
                <w:rFonts w:cstheme="minorHAnsi"/>
                <w:sz w:val="24"/>
                <w:szCs w:val="24"/>
              </w:rPr>
            </w:pPr>
            <w:r w:rsidRPr="009111FF">
              <w:rPr>
                <w:rFonts w:cstheme="minorHAnsi"/>
                <w:b/>
                <w:sz w:val="24"/>
                <w:szCs w:val="24"/>
              </w:rPr>
              <w:t>§1</w:t>
            </w:r>
            <w:r w:rsidRPr="004D42CB">
              <w:rPr>
                <w:rFonts w:cstheme="minorHAnsi"/>
                <w:sz w:val="24"/>
                <w:szCs w:val="24"/>
              </w:rPr>
              <w:t>. Deze overeenkomst treedt in werking op 01.01.2021 en wordt gesloten voor een vaste periode die eindigt op 30.06.2021, zonder stilzwijgende verlenging. Voor zover nodig komen de ondertekenende partijen overeen dat, overeenkomstig artikel 23 van de wet van 5 december 1968, de individuele normatieve bepalingen van deze collectieve arbeidsovereenkomst niet zullen worden opgenomen in de individuele arbeidsovereenkomsten van de werknemers</w:t>
            </w:r>
          </w:p>
          <w:p w14:paraId="5ACF012C" w14:textId="77777777" w:rsidR="00BA1B3F" w:rsidRDefault="00BA1B3F" w:rsidP="00437777">
            <w:pPr>
              <w:rPr>
                <w:rFonts w:cstheme="minorHAnsi"/>
                <w:color w:val="000000" w:themeColor="text1"/>
                <w:sz w:val="24"/>
                <w:szCs w:val="24"/>
                <w:u w:val="single"/>
              </w:rPr>
            </w:pPr>
          </w:p>
          <w:p w14:paraId="526CDFAE" w14:textId="77777777" w:rsidR="004D42CB" w:rsidRPr="00360E52" w:rsidRDefault="004D42CB" w:rsidP="004D42CB">
            <w:pPr>
              <w:rPr>
                <w:sz w:val="24"/>
                <w:szCs w:val="24"/>
              </w:rPr>
            </w:pPr>
            <w:r w:rsidRPr="00AE4872">
              <w:rPr>
                <w:rFonts w:eastAsia="Calibri" w:cstheme="minorHAnsi"/>
                <w:b/>
                <w:sz w:val="24"/>
                <w:szCs w:val="24"/>
                <w:lang w:eastAsia="fr-BE" w:bidi="fr-BE"/>
              </w:rPr>
              <w:lastRenderedPageBreak/>
              <w:t>§2</w:t>
            </w:r>
            <w:r w:rsidRPr="00360E52">
              <w:rPr>
                <w:sz w:val="24"/>
                <w:szCs w:val="24"/>
              </w:rPr>
              <w:t>. Zij kan worden opgezegd of herzien door de meest gerede ondertekenende partij, met een opzeggingstermijn van 3 maanden gericht aan de voorzitter van het paritair comité voor de gezondheidsinrichtingen en -diensten.</w:t>
            </w:r>
          </w:p>
          <w:p w14:paraId="35CE093A" w14:textId="77777777" w:rsidR="004D42CB" w:rsidRDefault="004D42CB">
            <w:pPr>
              <w:rPr>
                <w:rFonts w:cstheme="minorHAnsi"/>
                <w:color w:val="000000" w:themeColor="text1"/>
                <w:sz w:val="24"/>
                <w:szCs w:val="24"/>
                <w:u w:val="single"/>
              </w:rPr>
            </w:pPr>
          </w:p>
          <w:p w14:paraId="3C44C8F1" w14:textId="77777777" w:rsidR="00437777" w:rsidRPr="00AE4872" w:rsidRDefault="00437777" w:rsidP="009111FF">
            <w:pPr>
              <w:pStyle w:val="TableParagraph"/>
              <w:ind w:left="0" w:right="-35"/>
              <w:rPr>
                <w:rFonts w:asciiTheme="minorHAnsi" w:hAnsiTheme="minorHAnsi" w:cstheme="minorHAnsi"/>
                <w:b/>
                <w:sz w:val="24"/>
                <w:szCs w:val="24"/>
                <w:lang w:val="nl-BE"/>
              </w:rPr>
            </w:pPr>
            <w:r w:rsidRPr="00AE4872">
              <w:rPr>
                <w:rFonts w:asciiTheme="minorHAnsi" w:hAnsiTheme="minorHAnsi" w:cstheme="minorHAnsi"/>
                <w:b/>
                <w:sz w:val="24"/>
                <w:szCs w:val="24"/>
                <w:lang w:val="nl-BE"/>
              </w:rPr>
              <w:t>Artikel 8</w:t>
            </w:r>
          </w:p>
          <w:p w14:paraId="35DD9B58" w14:textId="4A13FAAB" w:rsidR="00437777" w:rsidRDefault="00437777" w:rsidP="009111FF">
            <w:pPr>
              <w:pStyle w:val="TableParagraph"/>
              <w:ind w:left="0" w:right="-35"/>
              <w:rPr>
                <w:rFonts w:asciiTheme="minorHAnsi" w:hAnsiTheme="minorHAnsi" w:cstheme="minorHAnsi"/>
                <w:sz w:val="24"/>
                <w:szCs w:val="24"/>
                <w:lang w:val="nl-NL"/>
              </w:rPr>
            </w:pPr>
            <w:r w:rsidRPr="00AE4872">
              <w:rPr>
                <w:rFonts w:asciiTheme="minorHAnsi" w:hAnsiTheme="minorHAnsi" w:cstheme="minorHAnsi"/>
                <w:sz w:val="24"/>
                <w:szCs w:val="24"/>
                <w:lang w:val="nl-BE"/>
              </w:rPr>
              <w:t xml:space="preserve">Overeenkomstig artikel 14 van de wet van 5 december 1968 betreffende de collectieve arbeidsovereenkomsten en de paritaire comités worden, voor wat betreft de ondertekening van deze collectieve arbeidsovereenkomst, de handtekeningen van de personen die deze aangaan namens de werknemersorganisaties enerzijds en </w:t>
            </w:r>
            <w:r w:rsidRPr="00437777">
              <w:rPr>
                <w:rFonts w:asciiTheme="minorHAnsi" w:hAnsiTheme="minorHAnsi" w:cstheme="minorHAnsi"/>
                <w:sz w:val="24"/>
                <w:szCs w:val="24"/>
                <w:lang w:val="nl-NL"/>
              </w:rPr>
              <w:t>namens de werkgeversorganisaties anderzijds, vervangen door de notulen van de vergadering die zijn ondertekend door de voorzitter en de secretaris en goedgekeurd door de leden.</w:t>
            </w:r>
          </w:p>
          <w:p w14:paraId="7B845BB1" w14:textId="77777777" w:rsidR="009111FF" w:rsidRPr="00AE4872" w:rsidRDefault="009111FF" w:rsidP="009111FF">
            <w:pPr>
              <w:pStyle w:val="TableParagraph"/>
              <w:ind w:left="0" w:right="-35"/>
              <w:rPr>
                <w:rFonts w:asciiTheme="minorHAnsi" w:hAnsiTheme="minorHAnsi" w:cstheme="minorHAnsi"/>
                <w:sz w:val="24"/>
                <w:szCs w:val="24"/>
                <w:lang w:val="nl-BE"/>
              </w:rPr>
            </w:pPr>
          </w:p>
          <w:p w14:paraId="655A8D9A" w14:textId="2803D3BF" w:rsidR="00437777" w:rsidRPr="00AE4872" w:rsidRDefault="00437777" w:rsidP="00EA5B50">
            <w:pPr>
              <w:pStyle w:val="TableParagraph"/>
              <w:ind w:left="0" w:right="-35"/>
              <w:rPr>
                <w:rFonts w:cstheme="minorHAnsi"/>
                <w:color w:val="000000" w:themeColor="text1"/>
                <w:sz w:val="24"/>
                <w:szCs w:val="24"/>
                <w:u w:val="single"/>
                <w:lang w:val="nl-BE"/>
              </w:rPr>
            </w:pPr>
          </w:p>
        </w:tc>
      </w:tr>
    </w:tbl>
    <w:p w14:paraId="70FBD7A2" w14:textId="77777777" w:rsidR="009E71CA" w:rsidRPr="00F500F6" w:rsidRDefault="009E71CA" w:rsidP="008514CB">
      <w:pPr>
        <w:rPr>
          <w:rFonts w:cstheme="minorHAnsi"/>
          <w:sz w:val="24"/>
          <w:szCs w:val="24"/>
        </w:rPr>
      </w:pPr>
    </w:p>
    <w:sectPr w:rsidR="009E71CA" w:rsidRPr="00F500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F4E53"/>
    <w:multiLevelType w:val="hybridMultilevel"/>
    <w:tmpl w:val="08727F90"/>
    <w:lvl w:ilvl="0" w:tplc="080C0001">
      <w:start w:val="1"/>
      <w:numFmt w:val="bullet"/>
      <w:lvlText w:val=""/>
      <w:lvlJc w:val="left"/>
      <w:pPr>
        <w:ind w:left="777" w:hanging="360"/>
      </w:pPr>
      <w:rPr>
        <w:rFonts w:ascii="Symbol" w:hAnsi="Symbol" w:hint="default"/>
      </w:rPr>
    </w:lvl>
    <w:lvl w:ilvl="1" w:tplc="080C0003" w:tentative="1">
      <w:start w:val="1"/>
      <w:numFmt w:val="bullet"/>
      <w:lvlText w:val="o"/>
      <w:lvlJc w:val="left"/>
      <w:pPr>
        <w:ind w:left="1497" w:hanging="360"/>
      </w:pPr>
      <w:rPr>
        <w:rFonts w:ascii="Courier New" w:hAnsi="Courier New" w:cs="Courier New" w:hint="default"/>
      </w:rPr>
    </w:lvl>
    <w:lvl w:ilvl="2" w:tplc="080C0005" w:tentative="1">
      <w:start w:val="1"/>
      <w:numFmt w:val="bullet"/>
      <w:lvlText w:val=""/>
      <w:lvlJc w:val="left"/>
      <w:pPr>
        <w:ind w:left="2217" w:hanging="360"/>
      </w:pPr>
      <w:rPr>
        <w:rFonts w:ascii="Wingdings" w:hAnsi="Wingdings" w:hint="default"/>
      </w:rPr>
    </w:lvl>
    <w:lvl w:ilvl="3" w:tplc="080C0001" w:tentative="1">
      <w:start w:val="1"/>
      <w:numFmt w:val="bullet"/>
      <w:lvlText w:val=""/>
      <w:lvlJc w:val="left"/>
      <w:pPr>
        <w:ind w:left="2937" w:hanging="360"/>
      </w:pPr>
      <w:rPr>
        <w:rFonts w:ascii="Symbol" w:hAnsi="Symbol" w:hint="default"/>
      </w:rPr>
    </w:lvl>
    <w:lvl w:ilvl="4" w:tplc="080C0003" w:tentative="1">
      <w:start w:val="1"/>
      <w:numFmt w:val="bullet"/>
      <w:lvlText w:val="o"/>
      <w:lvlJc w:val="left"/>
      <w:pPr>
        <w:ind w:left="3657" w:hanging="360"/>
      </w:pPr>
      <w:rPr>
        <w:rFonts w:ascii="Courier New" w:hAnsi="Courier New" w:cs="Courier New" w:hint="default"/>
      </w:rPr>
    </w:lvl>
    <w:lvl w:ilvl="5" w:tplc="080C0005" w:tentative="1">
      <w:start w:val="1"/>
      <w:numFmt w:val="bullet"/>
      <w:lvlText w:val=""/>
      <w:lvlJc w:val="left"/>
      <w:pPr>
        <w:ind w:left="4377" w:hanging="360"/>
      </w:pPr>
      <w:rPr>
        <w:rFonts w:ascii="Wingdings" w:hAnsi="Wingdings" w:hint="default"/>
      </w:rPr>
    </w:lvl>
    <w:lvl w:ilvl="6" w:tplc="080C0001" w:tentative="1">
      <w:start w:val="1"/>
      <w:numFmt w:val="bullet"/>
      <w:lvlText w:val=""/>
      <w:lvlJc w:val="left"/>
      <w:pPr>
        <w:ind w:left="5097" w:hanging="360"/>
      </w:pPr>
      <w:rPr>
        <w:rFonts w:ascii="Symbol" w:hAnsi="Symbol" w:hint="default"/>
      </w:rPr>
    </w:lvl>
    <w:lvl w:ilvl="7" w:tplc="080C0003" w:tentative="1">
      <w:start w:val="1"/>
      <w:numFmt w:val="bullet"/>
      <w:lvlText w:val="o"/>
      <w:lvlJc w:val="left"/>
      <w:pPr>
        <w:ind w:left="5817" w:hanging="360"/>
      </w:pPr>
      <w:rPr>
        <w:rFonts w:ascii="Courier New" w:hAnsi="Courier New" w:cs="Courier New" w:hint="default"/>
      </w:rPr>
    </w:lvl>
    <w:lvl w:ilvl="8" w:tplc="080C0005" w:tentative="1">
      <w:start w:val="1"/>
      <w:numFmt w:val="bullet"/>
      <w:lvlText w:val=""/>
      <w:lvlJc w:val="left"/>
      <w:pPr>
        <w:ind w:left="6537" w:hanging="360"/>
      </w:pPr>
      <w:rPr>
        <w:rFonts w:ascii="Wingdings" w:hAnsi="Wingdings" w:hint="default"/>
      </w:rPr>
    </w:lvl>
  </w:abstractNum>
  <w:abstractNum w:abstractNumId="1" w15:restartNumberingAfterBreak="0">
    <w:nsid w:val="4E142AE6"/>
    <w:multiLevelType w:val="hybridMultilevel"/>
    <w:tmpl w:val="8108AFF6"/>
    <w:lvl w:ilvl="0" w:tplc="080C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7ED314F"/>
    <w:multiLevelType w:val="hybridMultilevel"/>
    <w:tmpl w:val="3A6EDAE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BC6685F"/>
    <w:multiLevelType w:val="hybridMultilevel"/>
    <w:tmpl w:val="C62860B4"/>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0A"/>
    <w:rsid w:val="000F38FD"/>
    <w:rsid w:val="001274CC"/>
    <w:rsid w:val="001F6BE9"/>
    <w:rsid w:val="003527BB"/>
    <w:rsid w:val="003A4566"/>
    <w:rsid w:val="003E36DA"/>
    <w:rsid w:val="003F3F63"/>
    <w:rsid w:val="00406108"/>
    <w:rsid w:val="00437777"/>
    <w:rsid w:val="004D42CB"/>
    <w:rsid w:val="004F7ED6"/>
    <w:rsid w:val="00506E88"/>
    <w:rsid w:val="00614B0D"/>
    <w:rsid w:val="006D2E82"/>
    <w:rsid w:val="008514CB"/>
    <w:rsid w:val="00857C27"/>
    <w:rsid w:val="00892DB2"/>
    <w:rsid w:val="009111FF"/>
    <w:rsid w:val="0093550A"/>
    <w:rsid w:val="009E71CA"/>
    <w:rsid w:val="00A444DF"/>
    <w:rsid w:val="00AE4872"/>
    <w:rsid w:val="00AF4495"/>
    <w:rsid w:val="00BA1B3F"/>
    <w:rsid w:val="00CA483F"/>
    <w:rsid w:val="00CA5E27"/>
    <w:rsid w:val="00D513B0"/>
    <w:rsid w:val="00E03539"/>
    <w:rsid w:val="00E111F9"/>
    <w:rsid w:val="00EA5B50"/>
    <w:rsid w:val="00F500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3B24"/>
  <w15:chartTrackingRefBased/>
  <w15:docId w15:val="{84F6829C-CA43-4AAA-8FB6-A2A1924C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50A"/>
    <w:pPr>
      <w:spacing w:line="256" w:lineRule="auto"/>
    </w:pPr>
  </w:style>
  <w:style w:type="paragraph" w:styleId="Titre3">
    <w:name w:val="heading 3"/>
    <w:next w:val="Normal"/>
    <w:link w:val="Titre3Car"/>
    <w:uiPriority w:val="9"/>
    <w:unhideWhenUsed/>
    <w:qFormat/>
    <w:rsid w:val="0093550A"/>
    <w:pPr>
      <w:keepNext/>
      <w:keepLines/>
      <w:spacing w:after="0"/>
      <w:ind w:left="10" w:right="398" w:hanging="10"/>
      <w:outlineLvl w:val="2"/>
    </w:pPr>
    <w:rPr>
      <w:rFonts w:ascii="Calibri" w:eastAsia="Calibri" w:hAnsi="Calibri" w:cs="Calibri"/>
      <w:color w:val="000000"/>
      <w:sz w:val="24"/>
      <w:lang w:val="fr-BE" w:eastAsia="fr-B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35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93550A"/>
    <w:rPr>
      <w:rFonts w:ascii="Calibri" w:eastAsia="Calibri" w:hAnsi="Calibri" w:cs="Calibri"/>
      <w:color w:val="000000"/>
      <w:sz w:val="24"/>
      <w:lang w:val="fr-BE" w:eastAsia="fr-BE"/>
    </w:rPr>
  </w:style>
  <w:style w:type="paragraph" w:customStyle="1" w:styleId="TableParagraph">
    <w:name w:val="Table Paragraph"/>
    <w:basedOn w:val="Normal"/>
    <w:uiPriority w:val="1"/>
    <w:qFormat/>
    <w:rsid w:val="0093550A"/>
    <w:pPr>
      <w:widowControl w:val="0"/>
      <w:autoSpaceDE w:val="0"/>
      <w:autoSpaceDN w:val="0"/>
      <w:spacing w:after="0" w:line="240" w:lineRule="auto"/>
      <w:ind w:left="200"/>
    </w:pPr>
    <w:rPr>
      <w:rFonts w:ascii="Calibri" w:eastAsia="Calibri" w:hAnsi="Calibri" w:cs="Calibri"/>
      <w:lang w:val="fr-BE" w:eastAsia="fr-BE" w:bidi="fr-BE"/>
    </w:rPr>
  </w:style>
  <w:style w:type="paragraph" w:customStyle="1" w:styleId="CM1">
    <w:name w:val="CM1"/>
    <w:basedOn w:val="Normal"/>
    <w:next w:val="Normal"/>
    <w:rsid w:val="0093550A"/>
    <w:pPr>
      <w:widowControl w:val="0"/>
      <w:spacing w:after="0" w:line="240" w:lineRule="auto"/>
    </w:pPr>
    <w:rPr>
      <w:rFonts w:ascii="Palatino" w:eastAsia="Times New Roman" w:hAnsi="Palatino" w:cs="Times New Roman"/>
      <w:sz w:val="24"/>
      <w:szCs w:val="20"/>
      <w:lang w:val="fr-FR" w:eastAsia="fr-BE"/>
    </w:rPr>
  </w:style>
  <w:style w:type="paragraph" w:styleId="Paragraphedeliste">
    <w:name w:val="List Paragraph"/>
    <w:aliases w:val="Paragraphe + puce,Lettre d'introduction"/>
    <w:basedOn w:val="Normal"/>
    <w:link w:val="ParagraphedelisteCar"/>
    <w:uiPriority w:val="34"/>
    <w:qFormat/>
    <w:rsid w:val="00F500F6"/>
    <w:pPr>
      <w:spacing w:line="259" w:lineRule="auto"/>
      <w:ind w:left="720"/>
      <w:contextualSpacing/>
    </w:pPr>
    <w:rPr>
      <w:rFonts w:ascii="Times New Roman" w:eastAsia="Times New Roman" w:hAnsi="Times New Roman" w:cs="Times New Roman"/>
      <w:color w:val="000000"/>
      <w:lang w:val="fr-BE" w:eastAsia="fr-BE"/>
    </w:rPr>
  </w:style>
  <w:style w:type="character" w:customStyle="1" w:styleId="ParagraphedelisteCar">
    <w:name w:val="Paragraphe de liste Car"/>
    <w:aliases w:val="Paragraphe + puce Car,Lettre d'introduction Car"/>
    <w:basedOn w:val="Policepardfaut"/>
    <w:link w:val="Paragraphedeliste"/>
    <w:uiPriority w:val="34"/>
    <w:locked/>
    <w:rsid w:val="00F500F6"/>
    <w:rPr>
      <w:rFonts w:ascii="Times New Roman" w:eastAsia="Times New Roman" w:hAnsi="Times New Roman" w:cs="Times New Roman"/>
      <w:color w:val="000000"/>
      <w:lang w:val="fr-BE" w:eastAsia="fr-BE"/>
    </w:rPr>
  </w:style>
  <w:style w:type="character" w:styleId="Marquedecommentaire">
    <w:name w:val="annotation reference"/>
    <w:basedOn w:val="Policepardfaut"/>
    <w:uiPriority w:val="99"/>
    <w:semiHidden/>
    <w:unhideWhenUsed/>
    <w:rsid w:val="003E36DA"/>
    <w:rPr>
      <w:sz w:val="16"/>
      <w:szCs w:val="16"/>
    </w:rPr>
  </w:style>
  <w:style w:type="paragraph" w:styleId="Commentaire">
    <w:name w:val="annotation text"/>
    <w:basedOn w:val="Normal"/>
    <w:link w:val="CommentaireCar"/>
    <w:uiPriority w:val="99"/>
    <w:semiHidden/>
    <w:unhideWhenUsed/>
    <w:rsid w:val="003E36DA"/>
    <w:pPr>
      <w:spacing w:line="240" w:lineRule="auto"/>
    </w:pPr>
    <w:rPr>
      <w:sz w:val="20"/>
      <w:szCs w:val="20"/>
    </w:rPr>
  </w:style>
  <w:style w:type="character" w:customStyle="1" w:styleId="CommentaireCar">
    <w:name w:val="Commentaire Car"/>
    <w:basedOn w:val="Policepardfaut"/>
    <w:link w:val="Commentaire"/>
    <w:uiPriority w:val="99"/>
    <w:semiHidden/>
    <w:rsid w:val="003E36DA"/>
    <w:rPr>
      <w:sz w:val="20"/>
      <w:szCs w:val="20"/>
    </w:rPr>
  </w:style>
  <w:style w:type="paragraph" w:styleId="Objetducommentaire">
    <w:name w:val="annotation subject"/>
    <w:basedOn w:val="Commentaire"/>
    <w:next w:val="Commentaire"/>
    <w:link w:val="ObjetducommentaireCar"/>
    <w:uiPriority w:val="99"/>
    <w:semiHidden/>
    <w:unhideWhenUsed/>
    <w:rsid w:val="003E36DA"/>
    <w:rPr>
      <w:b/>
      <w:bCs/>
    </w:rPr>
  </w:style>
  <w:style w:type="character" w:customStyle="1" w:styleId="ObjetducommentaireCar">
    <w:name w:val="Objet du commentaire Car"/>
    <w:basedOn w:val="CommentaireCar"/>
    <w:link w:val="Objetducommentaire"/>
    <w:uiPriority w:val="99"/>
    <w:semiHidden/>
    <w:rsid w:val="003E36DA"/>
    <w:rPr>
      <w:b/>
      <w:bCs/>
      <w:sz w:val="20"/>
      <w:szCs w:val="20"/>
    </w:rPr>
  </w:style>
  <w:style w:type="paragraph" w:styleId="Rvision">
    <w:name w:val="Revision"/>
    <w:hidden/>
    <w:uiPriority w:val="99"/>
    <w:semiHidden/>
    <w:rsid w:val="003E36DA"/>
    <w:pPr>
      <w:spacing w:after="0" w:line="240" w:lineRule="auto"/>
    </w:pPr>
  </w:style>
  <w:style w:type="paragraph" w:styleId="Textedebulles">
    <w:name w:val="Balloon Text"/>
    <w:basedOn w:val="Normal"/>
    <w:link w:val="TextedebullesCar"/>
    <w:uiPriority w:val="99"/>
    <w:semiHidden/>
    <w:unhideWhenUsed/>
    <w:rsid w:val="003E36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6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952925">
      <w:bodyDiv w:val="1"/>
      <w:marLeft w:val="0"/>
      <w:marRight w:val="0"/>
      <w:marTop w:val="0"/>
      <w:marBottom w:val="0"/>
      <w:divBdr>
        <w:top w:val="none" w:sz="0" w:space="0" w:color="auto"/>
        <w:left w:val="none" w:sz="0" w:space="0" w:color="auto"/>
        <w:bottom w:val="none" w:sz="0" w:space="0" w:color="auto"/>
        <w:right w:val="none" w:sz="0" w:space="0" w:color="auto"/>
      </w:divBdr>
    </w:div>
    <w:div w:id="67129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50A4B84C968F439CFA9F4D5170F6D1" ma:contentTypeVersion="9" ma:contentTypeDescription="Een nieuw document maken." ma:contentTypeScope="" ma:versionID="47c8a99c5c85027e89e6c023a6e23963">
  <xsd:schema xmlns:xsd="http://www.w3.org/2001/XMLSchema" xmlns:xs="http://www.w3.org/2001/XMLSchema" xmlns:p="http://schemas.microsoft.com/office/2006/metadata/properties" xmlns:ns2="d6ea1992-402f-478f-b9ae-4dd965129772" xmlns:ns3="3c193391-1bad-4ea0-9144-4acabec280b5" targetNamespace="http://schemas.microsoft.com/office/2006/metadata/properties" ma:root="true" ma:fieldsID="116055492de9fe68461c5a3e63b9382c" ns2:_="" ns3:_="">
    <xsd:import namespace="d6ea1992-402f-478f-b9ae-4dd965129772"/>
    <xsd:import namespace="3c193391-1bad-4ea0-9144-4acabec280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a1992-402f-478f-b9ae-4dd965129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193391-1bad-4ea0-9144-4acabec280b5"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66C28-2C33-4E17-BEEB-7054376C8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a1992-402f-478f-b9ae-4dd965129772"/>
    <ds:schemaRef ds:uri="3c193391-1bad-4ea0-9144-4acabec28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9D7C6-3138-40EF-B2B2-61C0605EBEC3}">
  <ds:schemaRefs>
    <ds:schemaRef ds:uri="http://schemas.microsoft.com/sharepoint/v3/contenttype/forms"/>
  </ds:schemaRefs>
</ds:datastoreItem>
</file>

<file path=customXml/itemProps3.xml><?xml version="1.0" encoding="utf-8"?>
<ds:datastoreItem xmlns:ds="http://schemas.openxmlformats.org/officeDocument/2006/customXml" ds:itemID="{BB62A1DD-56D2-445C-984E-1C812261BB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1652</Words>
  <Characters>9089</Characters>
  <Application>Microsoft Office Word</Application>
  <DocSecurity>0</DocSecurity>
  <Lines>75</Lines>
  <Paragraphs>21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Gerits</dc:creator>
  <cp:keywords/>
  <dc:description/>
  <cp:lastModifiedBy>Jérémie Rafalowicz - Permanent Politique - FMM</cp:lastModifiedBy>
  <cp:revision>2</cp:revision>
  <dcterms:created xsi:type="dcterms:W3CDTF">2021-02-05T11:42:00Z</dcterms:created>
  <dcterms:modified xsi:type="dcterms:W3CDTF">2021-02-05T11:42:00Z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0x0101004E50A4B84C968F439CFA9F4D5170F6D1</vt:lpwstr>
  </property>
</Properties>
</file>